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ADB0C" w14:textId="77777777" w:rsidR="00593A16" w:rsidRPr="00D67209" w:rsidRDefault="00593A16" w:rsidP="00593A16">
      <w:pPr>
        <w:pStyle w:val="Prrafodelista"/>
        <w:ind w:left="0"/>
        <w:jc w:val="both"/>
        <w:outlineLvl w:val="0"/>
        <w:rPr>
          <w:rFonts w:ascii="Arial" w:hAnsi="Arial" w:cs="Arial"/>
          <w:sz w:val="16"/>
          <w:szCs w:val="16"/>
        </w:rPr>
      </w:pPr>
      <w:r w:rsidRPr="00D67209">
        <w:rPr>
          <w:rFonts w:ascii="Arial" w:hAnsi="Arial" w:cs="Arial"/>
          <w:sz w:val="16"/>
          <w:szCs w:val="16"/>
        </w:rPr>
        <w:t>6.3.2. Certificación expedida por el representante legal donde manifieste:</w:t>
      </w:r>
    </w:p>
    <w:p w14:paraId="20121BF3" w14:textId="77777777" w:rsidR="00593A16" w:rsidRPr="00D67209" w:rsidRDefault="00593A16" w:rsidP="00593A16">
      <w:pPr>
        <w:jc w:val="both"/>
        <w:outlineLvl w:val="0"/>
        <w:rPr>
          <w:rFonts w:ascii="Arial" w:hAnsi="Arial" w:cs="Arial"/>
          <w:sz w:val="16"/>
          <w:szCs w:val="16"/>
        </w:rPr>
      </w:pPr>
    </w:p>
    <w:p w14:paraId="71C702C7" w14:textId="77777777" w:rsidR="00EE25E9" w:rsidRPr="00F704E3" w:rsidRDefault="00EE25E9" w:rsidP="00EE25E9">
      <w:pPr>
        <w:jc w:val="both"/>
        <w:outlineLvl w:val="0"/>
        <w:rPr>
          <w:rFonts w:ascii="Arial" w:hAnsi="Arial" w:cs="Arial"/>
          <w:sz w:val="16"/>
          <w:szCs w:val="16"/>
        </w:rPr>
      </w:pPr>
      <w:r w:rsidRPr="00F704E3">
        <w:rPr>
          <w:rFonts w:ascii="Arial" w:hAnsi="Arial" w:cs="Arial"/>
          <w:sz w:val="16"/>
          <w:szCs w:val="16"/>
        </w:rPr>
        <w:t>6.3.2.1 Que ha verificado que la sociedad administradora de los fondos del exterior que pretende distribuir cumple con los requisitos establecidos en el Libro 6 de la Parte 3 del Decreto 2555 de 2010.</w:t>
      </w:r>
    </w:p>
    <w:p w14:paraId="7AC293C3" w14:textId="77777777" w:rsidR="00EE25E9" w:rsidRPr="00F704E3" w:rsidRDefault="00EE25E9" w:rsidP="00EE25E9">
      <w:pPr>
        <w:jc w:val="both"/>
        <w:outlineLvl w:val="0"/>
        <w:rPr>
          <w:rFonts w:ascii="Arial" w:hAnsi="Arial" w:cs="Arial"/>
          <w:sz w:val="16"/>
          <w:szCs w:val="16"/>
        </w:rPr>
      </w:pPr>
    </w:p>
    <w:p w14:paraId="15AB8944" w14:textId="77777777" w:rsidR="00EE25E9" w:rsidRPr="00F704E3" w:rsidRDefault="00EE25E9" w:rsidP="00EE25E9">
      <w:pPr>
        <w:pStyle w:val="Prrafodelista"/>
        <w:ind w:left="0"/>
        <w:jc w:val="both"/>
        <w:outlineLvl w:val="0"/>
        <w:rPr>
          <w:rFonts w:ascii="Arial" w:hAnsi="Arial" w:cs="Arial"/>
          <w:sz w:val="16"/>
          <w:szCs w:val="16"/>
        </w:rPr>
      </w:pPr>
      <w:r w:rsidRPr="00F704E3">
        <w:rPr>
          <w:rFonts w:ascii="Arial" w:hAnsi="Arial" w:cs="Arial"/>
          <w:sz w:val="16"/>
          <w:szCs w:val="16"/>
        </w:rPr>
        <w:t xml:space="preserve">6.3.2.2 Que el acuerdo de distribución suscrito con la sociedad administradora de los fondos del exterior incluye las reglas particulares necesarias para que el distribuidor pueda cumplir plenamente con las obligaciones derivadas de la actividad de distribución de fondos de inversión del exterior en Colombia. </w:t>
      </w:r>
    </w:p>
    <w:p w14:paraId="70BDBF0E" w14:textId="77777777" w:rsidR="00EE25E9" w:rsidRPr="00F704E3" w:rsidRDefault="00EE25E9" w:rsidP="00EE25E9">
      <w:pPr>
        <w:pStyle w:val="Prrafodelista"/>
        <w:ind w:left="0"/>
        <w:jc w:val="both"/>
        <w:outlineLvl w:val="0"/>
        <w:rPr>
          <w:rFonts w:ascii="Arial" w:hAnsi="Arial" w:cs="Arial"/>
          <w:sz w:val="16"/>
          <w:szCs w:val="16"/>
        </w:rPr>
      </w:pPr>
    </w:p>
    <w:p w14:paraId="3A57759F" w14:textId="77777777" w:rsidR="00EE25E9" w:rsidRPr="00F704E3" w:rsidRDefault="00EE25E9" w:rsidP="00EE25E9">
      <w:pPr>
        <w:pStyle w:val="Prrafodelista"/>
        <w:ind w:left="0"/>
        <w:jc w:val="both"/>
        <w:outlineLvl w:val="0"/>
        <w:rPr>
          <w:rFonts w:ascii="Arial" w:hAnsi="Arial" w:cs="Arial"/>
          <w:sz w:val="16"/>
          <w:szCs w:val="16"/>
        </w:rPr>
      </w:pPr>
      <w:r w:rsidRPr="00F704E3">
        <w:rPr>
          <w:rFonts w:ascii="Arial" w:hAnsi="Arial" w:cs="Arial"/>
          <w:sz w:val="16"/>
          <w:szCs w:val="16"/>
        </w:rPr>
        <w:t>El acuerdo de distribución celebrado con la sociedad administradora de fondos de inversión del exterior debe estar a disposición de la SFC cuando ésta lo requiera.</w:t>
      </w:r>
    </w:p>
    <w:p w14:paraId="48482037" w14:textId="77777777" w:rsidR="00EE25E9" w:rsidRPr="00F704E3" w:rsidRDefault="00EE25E9" w:rsidP="00EE25E9">
      <w:pPr>
        <w:jc w:val="both"/>
        <w:outlineLvl w:val="0"/>
        <w:rPr>
          <w:rFonts w:ascii="Arial" w:hAnsi="Arial" w:cs="Arial"/>
          <w:sz w:val="16"/>
          <w:szCs w:val="16"/>
        </w:rPr>
      </w:pPr>
    </w:p>
    <w:p w14:paraId="1208B473" w14:textId="77777777" w:rsidR="00EE25E9" w:rsidRPr="00F704E3" w:rsidRDefault="00EE25E9" w:rsidP="00EE25E9">
      <w:pPr>
        <w:jc w:val="both"/>
        <w:outlineLvl w:val="0"/>
        <w:rPr>
          <w:rFonts w:ascii="Arial" w:hAnsi="Arial" w:cs="Arial"/>
          <w:sz w:val="16"/>
          <w:szCs w:val="16"/>
        </w:rPr>
      </w:pPr>
      <w:r w:rsidRPr="003640E9">
        <w:rPr>
          <w:rFonts w:ascii="Arial" w:hAnsi="Arial" w:cs="Arial"/>
          <w:bCs/>
          <w:sz w:val="16"/>
          <w:szCs w:val="16"/>
        </w:rPr>
        <w:t>6.4.</w:t>
      </w:r>
      <w:r w:rsidRPr="00F704E3">
        <w:rPr>
          <w:rFonts w:ascii="Arial" w:hAnsi="Arial" w:cs="Arial"/>
          <w:sz w:val="16"/>
          <w:szCs w:val="16"/>
        </w:rPr>
        <w:t xml:space="preserve"> Obligaciones especiales para la distribución </w:t>
      </w:r>
      <w:proofErr w:type="gramStart"/>
      <w:r w:rsidRPr="00F704E3">
        <w:rPr>
          <w:rFonts w:ascii="Arial" w:hAnsi="Arial" w:cs="Arial"/>
          <w:sz w:val="16"/>
          <w:szCs w:val="16"/>
        </w:rPr>
        <w:t>del fondos</w:t>
      </w:r>
      <w:proofErr w:type="gramEnd"/>
      <w:r w:rsidRPr="00F704E3">
        <w:rPr>
          <w:rFonts w:ascii="Arial" w:hAnsi="Arial" w:cs="Arial"/>
          <w:sz w:val="16"/>
          <w:szCs w:val="16"/>
        </w:rPr>
        <w:t xml:space="preserve"> del exterior a través de cuentas ómnibus.</w:t>
      </w:r>
    </w:p>
    <w:p w14:paraId="72FF6AC7" w14:textId="77777777" w:rsidR="00EE25E9" w:rsidRPr="00F704E3" w:rsidRDefault="00EE25E9" w:rsidP="00EE25E9">
      <w:pPr>
        <w:jc w:val="both"/>
        <w:outlineLvl w:val="0"/>
        <w:rPr>
          <w:rFonts w:ascii="Arial" w:hAnsi="Arial" w:cs="Arial"/>
          <w:sz w:val="16"/>
          <w:szCs w:val="16"/>
        </w:rPr>
      </w:pPr>
    </w:p>
    <w:p w14:paraId="4BB04DAD" w14:textId="77777777" w:rsidR="00EE25E9" w:rsidRPr="00F704E3" w:rsidRDefault="00EE25E9" w:rsidP="00EE25E9">
      <w:pPr>
        <w:jc w:val="both"/>
        <w:outlineLvl w:val="0"/>
        <w:rPr>
          <w:rFonts w:ascii="Arial" w:hAnsi="Arial" w:cs="Arial"/>
          <w:sz w:val="16"/>
          <w:szCs w:val="16"/>
        </w:rPr>
      </w:pPr>
      <w:r w:rsidRPr="00F704E3">
        <w:rPr>
          <w:rFonts w:ascii="Arial" w:hAnsi="Arial" w:cs="Arial"/>
          <w:sz w:val="16"/>
          <w:szCs w:val="16"/>
        </w:rPr>
        <w:t>El distribuidor especializado de fondos de inversión del exterior debe cumplir con las obligaciones de los distribuidores especializados a través de cuentas ómnibus contenidos en el numeral 3 de este capítulo.</w:t>
      </w:r>
    </w:p>
    <w:p w14:paraId="45A0C994" w14:textId="77777777" w:rsidR="00EE25E9" w:rsidRPr="00F704E3" w:rsidRDefault="00EE25E9" w:rsidP="00EE25E9">
      <w:pPr>
        <w:jc w:val="both"/>
        <w:outlineLvl w:val="0"/>
        <w:rPr>
          <w:rFonts w:ascii="Arial" w:hAnsi="Arial" w:cs="Arial"/>
          <w:sz w:val="16"/>
          <w:szCs w:val="16"/>
        </w:rPr>
      </w:pPr>
    </w:p>
    <w:p w14:paraId="4462038A" w14:textId="77777777" w:rsidR="00EE25E9" w:rsidRPr="00F704E3" w:rsidRDefault="00EE25E9" w:rsidP="00EE25E9">
      <w:pPr>
        <w:jc w:val="both"/>
        <w:outlineLvl w:val="0"/>
        <w:rPr>
          <w:rFonts w:ascii="Arial" w:hAnsi="Arial" w:cs="Arial"/>
          <w:sz w:val="16"/>
          <w:szCs w:val="16"/>
          <w:highlight w:val="yellow"/>
        </w:rPr>
      </w:pPr>
      <w:r w:rsidRPr="00F704E3">
        <w:rPr>
          <w:rFonts w:ascii="Arial" w:hAnsi="Arial" w:cs="Arial"/>
          <w:sz w:val="16"/>
          <w:szCs w:val="16"/>
        </w:rPr>
        <w:t>Adicionalmente, durante la etapa de promoción y vinculación debe entregar a cada inversionista un documento resumen del fondo de inversión del exterior, que incluya:</w:t>
      </w:r>
    </w:p>
    <w:p w14:paraId="7F2E97A0" w14:textId="77777777" w:rsidR="00EE25E9" w:rsidRPr="00F704E3" w:rsidRDefault="00EE25E9" w:rsidP="00EE25E9">
      <w:pPr>
        <w:suppressAutoHyphens w:val="0"/>
        <w:autoSpaceDN/>
        <w:jc w:val="both"/>
        <w:textAlignment w:val="auto"/>
        <w:rPr>
          <w:rFonts w:ascii="Arial" w:hAnsi="Arial" w:cs="Arial"/>
          <w:sz w:val="16"/>
          <w:szCs w:val="16"/>
        </w:rPr>
      </w:pPr>
    </w:p>
    <w:p w14:paraId="397BD4CE"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r w:rsidRPr="003640E9">
        <w:rPr>
          <w:rFonts w:ascii="Arial" w:hAnsi="Arial" w:cs="Arial"/>
          <w:bCs/>
          <w:sz w:val="16"/>
          <w:szCs w:val="16"/>
        </w:rPr>
        <w:t>6.4.1.</w:t>
      </w:r>
      <w:r w:rsidRPr="00F704E3">
        <w:rPr>
          <w:rFonts w:ascii="Arial" w:hAnsi="Arial" w:cs="Arial"/>
          <w:sz w:val="16"/>
          <w:szCs w:val="16"/>
        </w:rPr>
        <w:t xml:space="preserve"> Identificación de la entidad administradora del fondo.</w:t>
      </w:r>
    </w:p>
    <w:p w14:paraId="5E9FAA17"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p>
    <w:p w14:paraId="2E4D2A98"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r w:rsidRPr="003640E9">
        <w:rPr>
          <w:rFonts w:ascii="Arial" w:hAnsi="Arial" w:cs="Arial"/>
          <w:bCs/>
          <w:sz w:val="16"/>
          <w:szCs w:val="16"/>
        </w:rPr>
        <w:t>6.4.2</w:t>
      </w:r>
      <w:r w:rsidRPr="00F704E3">
        <w:rPr>
          <w:rFonts w:ascii="Arial" w:hAnsi="Arial" w:cs="Arial"/>
          <w:b/>
          <w:sz w:val="16"/>
          <w:szCs w:val="16"/>
        </w:rPr>
        <w:t>.</w:t>
      </w:r>
      <w:r w:rsidRPr="00F704E3">
        <w:rPr>
          <w:rFonts w:ascii="Arial" w:hAnsi="Arial" w:cs="Arial"/>
          <w:sz w:val="16"/>
          <w:szCs w:val="16"/>
        </w:rPr>
        <w:t xml:space="preserve"> Identificación de la autoridad encargada de la supervisión de la entidad administradora y del fondo en la jurisdicción de origen.</w:t>
      </w:r>
    </w:p>
    <w:p w14:paraId="6167D4D2"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p>
    <w:p w14:paraId="675C60B1"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r w:rsidRPr="003640E9">
        <w:rPr>
          <w:rFonts w:ascii="Arial" w:hAnsi="Arial" w:cs="Arial"/>
          <w:bCs/>
          <w:sz w:val="16"/>
          <w:szCs w:val="16"/>
        </w:rPr>
        <w:t>6.4.3.</w:t>
      </w:r>
      <w:r w:rsidRPr="00F704E3">
        <w:rPr>
          <w:rFonts w:ascii="Arial" w:hAnsi="Arial" w:cs="Arial"/>
          <w:sz w:val="16"/>
          <w:szCs w:val="16"/>
        </w:rPr>
        <w:t xml:space="preserve"> Identificación del custodio profesional y de la autoridad encargada de su supervisión en la jurisdicción de origen.</w:t>
      </w:r>
    </w:p>
    <w:p w14:paraId="5DF64F6C"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p>
    <w:p w14:paraId="4D51DC5E"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r w:rsidRPr="003640E9">
        <w:rPr>
          <w:rFonts w:ascii="Arial" w:hAnsi="Arial" w:cs="Arial"/>
          <w:bCs/>
          <w:sz w:val="16"/>
          <w:szCs w:val="16"/>
        </w:rPr>
        <w:t>6.4.4</w:t>
      </w:r>
      <w:r w:rsidRPr="00F704E3">
        <w:rPr>
          <w:rFonts w:ascii="Arial" w:hAnsi="Arial" w:cs="Arial"/>
          <w:b/>
          <w:sz w:val="16"/>
          <w:szCs w:val="16"/>
        </w:rPr>
        <w:t>.</w:t>
      </w:r>
      <w:r w:rsidRPr="00F704E3">
        <w:rPr>
          <w:rFonts w:ascii="Arial" w:hAnsi="Arial" w:cs="Arial"/>
          <w:sz w:val="16"/>
          <w:szCs w:val="16"/>
        </w:rPr>
        <w:t xml:space="preserve"> Los requisitos de vinculación establecidos por el reglamento del fondo de inversión del exterior y por el régimen legal aplicable en la respectiva jurisdicción, así como el tipo de inversionista que puede adquirir o enajenar sus participaciones.</w:t>
      </w:r>
    </w:p>
    <w:p w14:paraId="587FDED5"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p>
    <w:p w14:paraId="3C9485AB"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r w:rsidRPr="003640E9">
        <w:rPr>
          <w:rFonts w:ascii="Arial" w:hAnsi="Arial" w:cs="Arial"/>
          <w:bCs/>
          <w:sz w:val="16"/>
          <w:szCs w:val="16"/>
        </w:rPr>
        <w:t>6.4.5.</w:t>
      </w:r>
      <w:r w:rsidRPr="00F704E3">
        <w:rPr>
          <w:rFonts w:ascii="Arial" w:hAnsi="Arial" w:cs="Arial"/>
          <w:sz w:val="16"/>
          <w:szCs w:val="16"/>
        </w:rPr>
        <w:t xml:space="preserve"> Tipo de fondo de inversión y política de redención de participaciones del fondo.</w:t>
      </w:r>
    </w:p>
    <w:p w14:paraId="28D8C75E"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p>
    <w:p w14:paraId="1F651740"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r w:rsidRPr="003640E9">
        <w:rPr>
          <w:rFonts w:ascii="Arial" w:hAnsi="Arial" w:cs="Arial"/>
          <w:bCs/>
          <w:sz w:val="16"/>
          <w:szCs w:val="16"/>
        </w:rPr>
        <w:t>6.4.6</w:t>
      </w:r>
      <w:r w:rsidRPr="00F704E3">
        <w:rPr>
          <w:rFonts w:ascii="Arial" w:hAnsi="Arial" w:cs="Arial"/>
          <w:b/>
          <w:sz w:val="16"/>
          <w:szCs w:val="16"/>
        </w:rPr>
        <w:t>.</w:t>
      </w:r>
      <w:r w:rsidRPr="00F704E3">
        <w:rPr>
          <w:rFonts w:ascii="Arial" w:hAnsi="Arial" w:cs="Arial"/>
          <w:sz w:val="16"/>
          <w:szCs w:val="16"/>
        </w:rPr>
        <w:t xml:space="preserve"> Breve resumen de la política de inversión que incluya el objetivo del fondo y principales riesgos asociados a la inversión.</w:t>
      </w:r>
    </w:p>
    <w:p w14:paraId="0439AB46" w14:textId="77777777" w:rsidR="00EE25E9" w:rsidRPr="00F704E3" w:rsidRDefault="00EE25E9" w:rsidP="00EE25E9">
      <w:pPr>
        <w:tabs>
          <w:tab w:val="left" w:pos="567"/>
        </w:tabs>
        <w:suppressAutoHyphens w:val="0"/>
        <w:autoSpaceDN/>
        <w:jc w:val="both"/>
        <w:textAlignment w:val="auto"/>
        <w:rPr>
          <w:rFonts w:ascii="Arial" w:hAnsi="Arial" w:cs="Arial"/>
          <w:sz w:val="16"/>
          <w:szCs w:val="16"/>
          <w:highlight w:val="yellow"/>
        </w:rPr>
      </w:pPr>
    </w:p>
    <w:p w14:paraId="336C58AC"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r w:rsidRPr="003640E9">
        <w:rPr>
          <w:rFonts w:ascii="Arial" w:hAnsi="Arial" w:cs="Arial"/>
          <w:bCs/>
          <w:sz w:val="16"/>
          <w:szCs w:val="16"/>
        </w:rPr>
        <w:t>6.4.7.</w:t>
      </w:r>
      <w:r w:rsidRPr="00F704E3">
        <w:rPr>
          <w:rFonts w:ascii="Arial" w:hAnsi="Arial" w:cs="Arial"/>
          <w:sz w:val="16"/>
          <w:szCs w:val="16"/>
        </w:rPr>
        <w:t xml:space="preserve"> Los mecanismos mediante los cuales los inversionistas pueden acceder a la información relacionada el numeral 2 del artículo 3.6.1.1.2 del Decreto 2555 de 2010.</w:t>
      </w:r>
    </w:p>
    <w:p w14:paraId="5E9299D2"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p>
    <w:p w14:paraId="3923F73D"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r w:rsidRPr="003640E9">
        <w:rPr>
          <w:rFonts w:ascii="Arial" w:hAnsi="Arial" w:cs="Arial"/>
          <w:bCs/>
          <w:sz w:val="16"/>
          <w:szCs w:val="16"/>
        </w:rPr>
        <w:t>6.4.8.</w:t>
      </w:r>
      <w:r w:rsidRPr="00F704E3">
        <w:rPr>
          <w:rFonts w:ascii="Arial" w:hAnsi="Arial" w:cs="Arial"/>
          <w:sz w:val="16"/>
          <w:szCs w:val="16"/>
        </w:rPr>
        <w:t xml:space="preserve"> </w:t>
      </w:r>
      <w:proofErr w:type="gramStart"/>
      <w:r w:rsidRPr="00F704E3">
        <w:rPr>
          <w:rFonts w:ascii="Arial" w:hAnsi="Arial" w:cs="Arial"/>
          <w:sz w:val="16"/>
          <w:szCs w:val="16"/>
        </w:rPr>
        <w:t>Todas las tarifas y comisiones a cobrarse</w:t>
      </w:r>
      <w:proofErr w:type="gramEnd"/>
      <w:r w:rsidRPr="00F704E3">
        <w:rPr>
          <w:rFonts w:ascii="Arial" w:hAnsi="Arial" w:cs="Arial"/>
          <w:sz w:val="16"/>
          <w:szCs w:val="16"/>
        </w:rPr>
        <w:t xml:space="preserve"> al cliente, incluyendo comisiones de entrada, salida, rendimientos y/o cualquier otra imputable al inversionista.</w:t>
      </w:r>
    </w:p>
    <w:p w14:paraId="33D0B2DB"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p>
    <w:p w14:paraId="686A5146"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r w:rsidRPr="003640E9">
        <w:rPr>
          <w:rFonts w:ascii="Arial" w:hAnsi="Arial" w:cs="Arial"/>
          <w:bCs/>
          <w:sz w:val="16"/>
          <w:szCs w:val="16"/>
        </w:rPr>
        <w:t>6.4.9.</w:t>
      </w:r>
      <w:r w:rsidRPr="00F704E3">
        <w:rPr>
          <w:rFonts w:ascii="Arial" w:hAnsi="Arial" w:cs="Arial"/>
          <w:sz w:val="16"/>
          <w:szCs w:val="16"/>
        </w:rPr>
        <w:t xml:space="preserve"> La calificación del fondo de inversión, si aplica.</w:t>
      </w:r>
    </w:p>
    <w:p w14:paraId="51BCE2D7"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p>
    <w:p w14:paraId="565727F9"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r w:rsidRPr="003640E9">
        <w:rPr>
          <w:rFonts w:ascii="Arial" w:hAnsi="Arial" w:cs="Arial"/>
          <w:bCs/>
          <w:sz w:val="16"/>
          <w:szCs w:val="16"/>
        </w:rPr>
        <w:t>6.4.10.</w:t>
      </w:r>
      <w:r w:rsidRPr="00F704E3">
        <w:rPr>
          <w:rFonts w:ascii="Arial" w:hAnsi="Arial" w:cs="Arial"/>
          <w:sz w:val="16"/>
          <w:szCs w:val="16"/>
        </w:rPr>
        <w:t xml:space="preserve"> La manifestación de que el administrador de la cuenta ómnibus responderá hasta la culpa leve en el cumplimiento de sus funciones como experto prudente y diligente. </w:t>
      </w:r>
    </w:p>
    <w:p w14:paraId="68A55B70"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p>
    <w:p w14:paraId="2AB1CBAE" w14:textId="77777777" w:rsidR="00EE25E9" w:rsidRPr="00F704E3" w:rsidRDefault="00EE25E9" w:rsidP="00EE25E9">
      <w:pPr>
        <w:tabs>
          <w:tab w:val="left" w:pos="567"/>
        </w:tabs>
        <w:suppressAutoHyphens w:val="0"/>
        <w:autoSpaceDN/>
        <w:jc w:val="both"/>
        <w:textAlignment w:val="auto"/>
        <w:rPr>
          <w:rFonts w:ascii="Arial" w:hAnsi="Arial" w:cs="Arial"/>
          <w:sz w:val="16"/>
          <w:szCs w:val="16"/>
        </w:rPr>
      </w:pPr>
      <w:r w:rsidRPr="003640E9">
        <w:rPr>
          <w:rFonts w:ascii="Arial" w:hAnsi="Arial" w:cs="Arial"/>
          <w:bCs/>
          <w:sz w:val="16"/>
          <w:szCs w:val="16"/>
        </w:rPr>
        <w:t>6.4.11</w:t>
      </w:r>
      <w:r w:rsidRPr="00F704E3">
        <w:rPr>
          <w:rFonts w:ascii="Arial" w:hAnsi="Arial" w:cs="Arial"/>
          <w:b/>
          <w:sz w:val="16"/>
          <w:szCs w:val="16"/>
        </w:rPr>
        <w:t>.</w:t>
      </w:r>
      <w:r w:rsidRPr="00F704E3">
        <w:rPr>
          <w:rFonts w:ascii="Arial" w:hAnsi="Arial" w:cs="Arial"/>
          <w:sz w:val="16"/>
          <w:szCs w:val="16"/>
        </w:rPr>
        <w:t xml:space="preserve"> La manifestación de que la supervisión tanto del fondo de inversión del exterior como de su entidad administradora se realiza por parte de la autoridad de supervisión de la jurisdicción de origen y no por parte de la SFC.</w:t>
      </w:r>
    </w:p>
    <w:p w14:paraId="01DF8C96" w14:textId="77777777" w:rsidR="00EE25E9" w:rsidRDefault="00EE25E9" w:rsidP="00C82AB7">
      <w:pPr>
        <w:tabs>
          <w:tab w:val="left" w:pos="567"/>
        </w:tabs>
        <w:suppressAutoHyphens w:val="0"/>
        <w:autoSpaceDN/>
        <w:jc w:val="both"/>
        <w:textAlignment w:val="auto"/>
        <w:rPr>
          <w:rFonts w:ascii="Arial" w:hAnsi="Arial" w:cs="Arial"/>
          <w:b/>
          <w:sz w:val="16"/>
          <w:szCs w:val="16"/>
        </w:rPr>
      </w:pPr>
    </w:p>
    <w:p w14:paraId="7820F6B5" w14:textId="77777777" w:rsidR="00EE25E9" w:rsidRDefault="00EE25E9" w:rsidP="00C82AB7">
      <w:pPr>
        <w:tabs>
          <w:tab w:val="left" w:pos="567"/>
        </w:tabs>
        <w:suppressAutoHyphens w:val="0"/>
        <w:autoSpaceDN/>
        <w:jc w:val="both"/>
        <w:textAlignment w:val="auto"/>
        <w:rPr>
          <w:rFonts w:ascii="Arial" w:hAnsi="Arial" w:cs="Arial"/>
          <w:b/>
          <w:sz w:val="16"/>
          <w:szCs w:val="16"/>
        </w:rPr>
      </w:pPr>
      <w:r>
        <w:rPr>
          <w:rFonts w:ascii="Arial" w:hAnsi="Arial" w:cs="Arial"/>
          <w:b/>
          <w:sz w:val="16"/>
          <w:szCs w:val="16"/>
        </w:rPr>
        <w:t>7. ADQUISICIÓN DE PARTICIPACIONES DE BAJO MONTO EN FICS</w:t>
      </w:r>
    </w:p>
    <w:p w14:paraId="23A58202" w14:textId="77777777" w:rsidR="00EE25E9" w:rsidRDefault="00EE25E9" w:rsidP="004A4175">
      <w:pPr>
        <w:tabs>
          <w:tab w:val="left" w:pos="567"/>
        </w:tabs>
        <w:suppressAutoHyphens w:val="0"/>
        <w:autoSpaceDN/>
        <w:jc w:val="both"/>
        <w:textAlignment w:val="auto"/>
        <w:rPr>
          <w:rFonts w:ascii="Arial" w:hAnsi="Arial" w:cs="Arial"/>
          <w:b/>
          <w:sz w:val="16"/>
          <w:szCs w:val="16"/>
        </w:rPr>
      </w:pPr>
    </w:p>
    <w:p w14:paraId="1F7941B3" w14:textId="77777777" w:rsidR="00EE25E9" w:rsidRPr="00C82AB7" w:rsidRDefault="00EE25E9" w:rsidP="00C82AB7">
      <w:pPr>
        <w:jc w:val="both"/>
        <w:rPr>
          <w:rFonts w:ascii="Arial" w:hAnsi="Arial" w:cs="Arial"/>
          <w:bCs/>
          <w:spacing w:val="-3"/>
          <w:sz w:val="16"/>
          <w:szCs w:val="16"/>
        </w:rPr>
      </w:pPr>
      <w:r w:rsidRPr="00C82AB7">
        <w:rPr>
          <w:rFonts w:ascii="Arial" w:hAnsi="Arial" w:cs="Arial"/>
          <w:bCs/>
          <w:spacing w:val="-3"/>
          <w:sz w:val="16"/>
          <w:szCs w:val="16"/>
        </w:rPr>
        <w:t xml:space="preserve">7.1 Características </w:t>
      </w:r>
    </w:p>
    <w:p w14:paraId="09DA21A2" w14:textId="77777777" w:rsidR="00EE25E9" w:rsidRPr="00C82AB7" w:rsidRDefault="00EE25E9" w:rsidP="00C82AB7">
      <w:pPr>
        <w:jc w:val="both"/>
        <w:rPr>
          <w:rFonts w:ascii="Arial" w:hAnsi="Arial" w:cs="Arial"/>
          <w:bCs/>
          <w:spacing w:val="-3"/>
          <w:sz w:val="16"/>
          <w:szCs w:val="16"/>
        </w:rPr>
      </w:pPr>
    </w:p>
    <w:p w14:paraId="104900C6" w14:textId="77777777" w:rsidR="00EE25E9" w:rsidRPr="00C82AB7" w:rsidRDefault="00EE25E9" w:rsidP="00C82AB7">
      <w:pPr>
        <w:jc w:val="both"/>
        <w:rPr>
          <w:rFonts w:ascii="Arial" w:hAnsi="Arial" w:cs="Arial"/>
          <w:bCs/>
          <w:spacing w:val="-3"/>
          <w:sz w:val="16"/>
          <w:szCs w:val="16"/>
        </w:rPr>
      </w:pPr>
      <w:r w:rsidRPr="00C82AB7">
        <w:rPr>
          <w:rFonts w:ascii="Arial" w:hAnsi="Arial" w:cs="Arial"/>
          <w:bCs/>
          <w:spacing w:val="-3"/>
          <w:sz w:val="16"/>
          <w:szCs w:val="16"/>
        </w:rPr>
        <w:t xml:space="preserve">Se entiende por adquisición de participaciones de bajo monto en </w:t>
      </w:r>
      <w:proofErr w:type="spellStart"/>
      <w:r w:rsidRPr="00C82AB7">
        <w:rPr>
          <w:rFonts w:ascii="Arial" w:hAnsi="Arial" w:cs="Arial"/>
          <w:bCs/>
          <w:spacing w:val="-3"/>
          <w:sz w:val="16"/>
          <w:szCs w:val="16"/>
        </w:rPr>
        <w:t>FICs</w:t>
      </w:r>
      <w:proofErr w:type="spellEnd"/>
      <w:r w:rsidRPr="00C82AB7">
        <w:rPr>
          <w:rFonts w:ascii="Arial" w:hAnsi="Arial" w:cs="Arial"/>
          <w:bCs/>
          <w:spacing w:val="-3"/>
          <w:sz w:val="16"/>
          <w:szCs w:val="16"/>
        </w:rPr>
        <w:t xml:space="preserve"> aquellas que cumplan con las siguientes condiciones:</w:t>
      </w:r>
    </w:p>
    <w:p w14:paraId="5BAF52E4" w14:textId="77777777" w:rsidR="00EE25E9" w:rsidRPr="00C82AB7" w:rsidRDefault="00EE25E9" w:rsidP="00C82AB7">
      <w:pPr>
        <w:jc w:val="both"/>
        <w:rPr>
          <w:rFonts w:ascii="Arial" w:hAnsi="Arial" w:cs="Arial"/>
          <w:bCs/>
          <w:spacing w:val="-3"/>
          <w:sz w:val="16"/>
          <w:szCs w:val="16"/>
        </w:rPr>
      </w:pPr>
    </w:p>
    <w:p w14:paraId="700BE00C" w14:textId="77777777" w:rsidR="00EE25E9" w:rsidRPr="00C82AB7" w:rsidRDefault="00EE25E9" w:rsidP="00C82AB7">
      <w:pPr>
        <w:jc w:val="both"/>
        <w:rPr>
          <w:rFonts w:ascii="Arial" w:hAnsi="Arial" w:cs="Arial"/>
          <w:bCs/>
          <w:spacing w:val="-3"/>
          <w:sz w:val="16"/>
          <w:szCs w:val="16"/>
        </w:rPr>
      </w:pPr>
      <w:r w:rsidRPr="00C82AB7">
        <w:rPr>
          <w:rFonts w:ascii="Arial" w:hAnsi="Arial" w:cs="Arial"/>
          <w:bCs/>
          <w:spacing w:val="-3"/>
          <w:sz w:val="16"/>
          <w:szCs w:val="16"/>
        </w:rPr>
        <w:t>7.1.1. Los inversionistas que las realizan: (i) sean personas naturales, (</w:t>
      </w:r>
      <w:proofErr w:type="spellStart"/>
      <w:r w:rsidRPr="00C82AB7">
        <w:rPr>
          <w:rFonts w:ascii="Arial" w:hAnsi="Arial" w:cs="Arial"/>
          <w:bCs/>
          <w:spacing w:val="-3"/>
          <w:sz w:val="16"/>
          <w:szCs w:val="16"/>
        </w:rPr>
        <w:t>ii</w:t>
      </w:r>
      <w:proofErr w:type="spellEnd"/>
      <w:r w:rsidRPr="00C82AB7">
        <w:rPr>
          <w:rFonts w:ascii="Arial" w:hAnsi="Arial" w:cs="Arial"/>
          <w:bCs/>
          <w:spacing w:val="-3"/>
          <w:sz w:val="16"/>
          <w:szCs w:val="16"/>
        </w:rPr>
        <w:t xml:space="preserve">) sean los mismos beneficiarios finales de las operaciones de adquisición o redención de participaciones en los </w:t>
      </w:r>
      <w:proofErr w:type="spellStart"/>
      <w:r w:rsidRPr="00C82AB7">
        <w:rPr>
          <w:rFonts w:ascii="Arial" w:hAnsi="Arial" w:cs="Arial"/>
          <w:bCs/>
          <w:spacing w:val="-3"/>
          <w:sz w:val="16"/>
          <w:szCs w:val="16"/>
        </w:rPr>
        <w:t>FICs</w:t>
      </w:r>
      <w:proofErr w:type="spellEnd"/>
      <w:r w:rsidRPr="00C82AB7">
        <w:rPr>
          <w:rFonts w:ascii="Arial" w:hAnsi="Arial" w:cs="Arial"/>
          <w:bCs/>
          <w:spacing w:val="-3"/>
          <w:sz w:val="16"/>
          <w:szCs w:val="16"/>
        </w:rPr>
        <w:t>, y (</w:t>
      </w:r>
      <w:proofErr w:type="spellStart"/>
      <w:r w:rsidRPr="00C82AB7">
        <w:rPr>
          <w:rFonts w:ascii="Arial" w:hAnsi="Arial" w:cs="Arial"/>
          <w:bCs/>
          <w:spacing w:val="-3"/>
          <w:sz w:val="16"/>
          <w:szCs w:val="16"/>
        </w:rPr>
        <w:t>iii</w:t>
      </w:r>
      <w:proofErr w:type="spellEnd"/>
      <w:r w:rsidRPr="00C82AB7">
        <w:rPr>
          <w:rFonts w:ascii="Arial" w:hAnsi="Arial" w:cs="Arial"/>
          <w:bCs/>
          <w:spacing w:val="-3"/>
          <w:sz w:val="16"/>
          <w:szCs w:val="16"/>
        </w:rPr>
        <w:t>) no sean consideradas como personas expuestas políticamente.</w:t>
      </w:r>
    </w:p>
    <w:p w14:paraId="129F29CB" w14:textId="77777777" w:rsidR="00EE25E9" w:rsidRPr="00C82AB7" w:rsidRDefault="00EE25E9" w:rsidP="00C82AB7">
      <w:pPr>
        <w:jc w:val="both"/>
        <w:rPr>
          <w:rFonts w:ascii="Arial" w:hAnsi="Arial" w:cs="Arial"/>
          <w:bCs/>
          <w:spacing w:val="-3"/>
          <w:sz w:val="16"/>
          <w:szCs w:val="16"/>
        </w:rPr>
      </w:pPr>
    </w:p>
    <w:p w14:paraId="7F1306EA" w14:textId="068270E9" w:rsidR="00EE25E9" w:rsidRPr="00C82AB7" w:rsidRDefault="00EE25E9" w:rsidP="00C82AB7">
      <w:pPr>
        <w:pBdr>
          <w:left w:val="single" w:sz="4" w:space="4" w:color="auto"/>
        </w:pBdr>
        <w:jc w:val="both"/>
        <w:rPr>
          <w:rFonts w:ascii="Arial" w:hAnsi="Arial" w:cs="Arial"/>
          <w:bCs/>
          <w:spacing w:val="-3"/>
          <w:sz w:val="16"/>
          <w:szCs w:val="16"/>
        </w:rPr>
      </w:pPr>
      <w:r w:rsidRPr="00C82AB7">
        <w:rPr>
          <w:rFonts w:ascii="Arial" w:hAnsi="Arial" w:cs="Arial"/>
          <w:bCs/>
          <w:spacing w:val="-3"/>
          <w:sz w:val="16"/>
          <w:szCs w:val="16"/>
        </w:rPr>
        <w:t xml:space="preserve">7.1.2. </w:t>
      </w:r>
      <w:r w:rsidRPr="00C82AB7">
        <w:rPr>
          <w:rFonts w:ascii="Arial" w:hAnsi="Arial" w:cs="Arial"/>
          <w:bCs/>
          <w:sz w:val="16"/>
          <w:szCs w:val="16"/>
        </w:rPr>
        <w:t xml:space="preserve">Los recursos para la adquisición de participaciones de bajo monto en </w:t>
      </w:r>
      <w:proofErr w:type="spellStart"/>
      <w:r w:rsidRPr="00C82AB7">
        <w:rPr>
          <w:rFonts w:ascii="Arial" w:hAnsi="Arial" w:cs="Arial"/>
          <w:bCs/>
          <w:sz w:val="16"/>
          <w:szCs w:val="16"/>
        </w:rPr>
        <w:t>FICs</w:t>
      </w:r>
      <w:proofErr w:type="spellEnd"/>
      <w:r w:rsidRPr="00C82AB7">
        <w:rPr>
          <w:rFonts w:ascii="Arial" w:hAnsi="Arial" w:cs="Arial"/>
          <w:bCs/>
          <w:sz w:val="16"/>
          <w:szCs w:val="16"/>
        </w:rPr>
        <w:t xml:space="preserve"> provienen de productos de titularidad del inversionista. Para efectos del subnumeral 7 del presente Capítulo, “producto” tiene el significado asignado en el </w:t>
      </w:r>
      <w:r w:rsidRPr="00C82AB7">
        <w:rPr>
          <w:rFonts w:ascii="Arial" w:eastAsia="MS Mincho" w:hAnsi="Arial" w:cs="Arial"/>
          <w:bCs/>
          <w:sz w:val="16"/>
          <w:szCs w:val="16"/>
          <w:lang w:val="es-ES" w:eastAsia="es-CO"/>
        </w:rPr>
        <w:t>Capítulo IV del Título IV de la Parte 1 de la CBJ.</w:t>
      </w:r>
    </w:p>
    <w:p w14:paraId="17FD4BBA" w14:textId="77777777" w:rsidR="00EE25E9" w:rsidRPr="00C82AB7" w:rsidRDefault="00EE25E9" w:rsidP="00C82AB7">
      <w:pPr>
        <w:jc w:val="both"/>
        <w:rPr>
          <w:rFonts w:ascii="Arial" w:hAnsi="Arial" w:cs="Arial"/>
          <w:bCs/>
          <w:spacing w:val="-3"/>
          <w:sz w:val="16"/>
          <w:szCs w:val="16"/>
        </w:rPr>
      </w:pPr>
    </w:p>
    <w:p w14:paraId="6B4ED6D7" w14:textId="77777777" w:rsidR="00EE25E9" w:rsidRPr="00C82AB7" w:rsidRDefault="00EE25E9" w:rsidP="00C82AB7">
      <w:pPr>
        <w:jc w:val="both"/>
        <w:rPr>
          <w:rFonts w:ascii="Arial" w:hAnsi="Arial" w:cs="Arial"/>
          <w:bCs/>
          <w:spacing w:val="-3"/>
          <w:sz w:val="16"/>
          <w:szCs w:val="16"/>
        </w:rPr>
      </w:pPr>
      <w:r w:rsidRPr="00C82AB7">
        <w:rPr>
          <w:rFonts w:ascii="Arial" w:hAnsi="Arial" w:cs="Arial"/>
          <w:bCs/>
          <w:spacing w:val="-3"/>
          <w:sz w:val="16"/>
          <w:szCs w:val="16"/>
        </w:rPr>
        <w:t xml:space="preserve">7.1.3 Los montos de las operaciones de adquisición o redención de participaciones del inversionista en todos los </w:t>
      </w:r>
      <w:proofErr w:type="spellStart"/>
      <w:r w:rsidRPr="00C82AB7">
        <w:rPr>
          <w:rFonts w:ascii="Arial" w:hAnsi="Arial" w:cs="Arial"/>
          <w:bCs/>
          <w:spacing w:val="-3"/>
          <w:sz w:val="16"/>
          <w:szCs w:val="16"/>
        </w:rPr>
        <w:t>FICs</w:t>
      </w:r>
      <w:proofErr w:type="spellEnd"/>
      <w:r w:rsidRPr="00C82AB7">
        <w:rPr>
          <w:rFonts w:ascii="Arial" w:hAnsi="Arial" w:cs="Arial"/>
          <w:bCs/>
          <w:spacing w:val="-3"/>
          <w:sz w:val="16"/>
          <w:szCs w:val="16"/>
        </w:rPr>
        <w:t xml:space="preserve"> administrados por la misma sociedad administradora o distribuidos a través de cuenta ómnibus por el distribuidor especializado no superen en el mes calendario sesenta y seis mil Unidades de Valor Real (66.000 UVR)</w:t>
      </w:r>
      <w:r w:rsidRPr="00C82AB7">
        <w:rPr>
          <w:rFonts w:ascii="Arial" w:eastAsia="MS Mincho" w:hAnsi="Arial" w:cs="Arial"/>
          <w:bCs/>
          <w:spacing w:val="-3"/>
          <w:sz w:val="16"/>
          <w:szCs w:val="16"/>
          <w:lang w:val="es-ES_tradnl" w:eastAsia="es-CO"/>
        </w:rPr>
        <w:t xml:space="preserve"> vigentes al 31 de diciembre del año inmediatamente anterior</w:t>
      </w:r>
      <w:r w:rsidRPr="00C82AB7">
        <w:rPr>
          <w:rFonts w:ascii="Arial" w:hAnsi="Arial" w:cs="Arial"/>
          <w:bCs/>
          <w:spacing w:val="-3"/>
          <w:sz w:val="16"/>
          <w:szCs w:val="16"/>
        </w:rPr>
        <w:t>.</w:t>
      </w:r>
    </w:p>
    <w:p w14:paraId="4A94DFC1" w14:textId="77777777" w:rsidR="00EE25E9" w:rsidRPr="00C82AB7" w:rsidRDefault="00EE25E9" w:rsidP="00C82AB7">
      <w:pPr>
        <w:jc w:val="both"/>
        <w:rPr>
          <w:rFonts w:ascii="Arial" w:hAnsi="Arial" w:cs="Arial"/>
          <w:bCs/>
          <w:spacing w:val="-3"/>
          <w:sz w:val="16"/>
          <w:szCs w:val="16"/>
        </w:rPr>
      </w:pPr>
    </w:p>
    <w:p w14:paraId="4C58CD73" w14:textId="77777777" w:rsidR="00EE25E9" w:rsidRPr="00C82AB7" w:rsidRDefault="00EE25E9" w:rsidP="00C82AB7">
      <w:pPr>
        <w:jc w:val="both"/>
        <w:rPr>
          <w:rFonts w:ascii="Arial" w:hAnsi="Arial" w:cs="Arial"/>
          <w:bCs/>
          <w:spacing w:val="-3"/>
          <w:sz w:val="16"/>
          <w:szCs w:val="16"/>
        </w:rPr>
      </w:pPr>
      <w:r w:rsidRPr="00C82AB7">
        <w:rPr>
          <w:rFonts w:ascii="Arial" w:hAnsi="Arial" w:cs="Arial"/>
          <w:bCs/>
          <w:spacing w:val="-3"/>
          <w:sz w:val="16"/>
          <w:szCs w:val="16"/>
        </w:rPr>
        <w:t xml:space="preserve">7.1.4. El monto total de las participaciones del inversionista en todos los </w:t>
      </w:r>
      <w:proofErr w:type="spellStart"/>
      <w:r w:rsidRPr="00C82AB7">
        <w:rPr>
          <w:rFonts w:ascii="Arial" w:hAnsi="Arial" w:cs="Arial"/>
          <w:bCs/>
          <w:spacing w:val="-3"/>
          <w:sz w:val="16"/>
          <w:szCs w:val="16"/>
        </w:rPr>
        <w:t>FICs</w:t>
      </w:r>
      <w:proofErr w:type="spellEnd"/>
      <w:r w:rsidRPr="00C82AB7">
        <w:rPr>
          <w:rFonts w:ascii="Arial" w:hAnsi="Arial" w:cs="Arial"/>
          <w:bCs/>
          <w:spacing w:val="-3"/>
          <w:sz w:val="16"/>
          <w:szCs w:val="16"/>
        </w:rPr>
        <w:t xml:space="preserve"> administrados por la misma sociedad administradora o distribuidos a través de cuenta ómnibus, no excedan sesenta y seis mil Unidades de Valor Real (66.000 UVR) </w:t>
      </w:r>
      <w:r w:rsidRPr="00C82AB7">
        <w:rPr>
          <w:rFonts w:ascii="Arial" w:eastAsia="MS Mincho" w:hAnsi="Arial" w:cs="Arial"/>
          <w:bCs/>
          <w:spacing w:val="-3"/>
          <w:sz w:val="16"/>
          <w:szCs w:val="16"/>
          <w:lang w:val="es-ES_tradnl" w:eastAsia="es-CO"/>
        </w:rPr>
        <w:t>vigentes al 31 de diciembre del año inmediatamente anterior</w:t>
      </w:r>
      <w:r w:rsidRPr="00C82AB7">
        <w:rPr>
          <w:rFonts w:ascii="Arial" w:hAnsi="Arial" w:cs="Arial"/>
          <w:bCs/>
          <w:spacing w:val="-3"/>
          <w:sz w:val="16"/>
          <w:szCs w:val="16"/>
        </w:rPr>
        <w:t>.</w:t>
      </w:r>
    </w:p>
    <w:p w14:paraId="05CE828F" w14:textId="77777777" w:rsidR="00EE25E9" w:rsidRPr="00C82AB7" w:rsidRDefault="00EE25E9" w:rsidP="00C82AB7">
      <w:pPr>
        <w:jc w:val="both"/>
        <w:rPr>
          <w:rFonts w:ascii="Arial" w:hAnsi="Arial" w:cs="Arial"/>
          <w:bCs/>
          <w:spacing w:val="-3"/>
          <w:sz w:val="16"/>
          <w:szCs w:val="16"/>
        </w:rPr>
      </w:pPr>
    </w:p>
    <w:p w14:paraId="5E7349E4" w14:textId="77777777" w:rsidR="00EE25E9" w:rsidRPr="00C82AB7" w:rsidRDefault="00EE25E9" w:rsidP="00C82AB7">
      <w:pPr>
        <w:jc w:val="both"/>
        <w:rPr>
          <w:rFonts w:ascii="Arial" w:hAnsi="Arial" w:cs="Arial"/>
          <w:bCs/>
          <w:spacing w:val="-3"/>
          <w:sz w:val="16"/>
          <w:szCs w:val="16"/>
        </w:rPr>
      </w:pPr>
      <w:r w:rsidRPr="00C82AB7">
        <w:rPr>
          <w:rFonts w:ascii="Arial" w:hAnsi="Arial" w:cs="Arial"/>
          <w:bCs/>
          <w:spacing w:val="-3"/>
          <w:sz w:val="16"/>
          <w:szCs w:val="16"/>
        </w:rPr>
        <w:t>7.2. Vinculación simplificada</w:t>
      </w:r>
    </w:p>
    <w:p w14:paraId="07E69489" w14:textId="77777777" w:rsidR="00EE25E9" w:rsidRPr="00C82AB7" w:rsidRDefault="00EE25E9" w:rsidP="00C82AB7">
      <w:pPr>
        <w:jc w:val="both"/>
        <w:rPr>
          <w:rFonts w:ascii="Arial" w:hAnsi="Arial" w:cs="Arial"/>
          <w:bCs/>
          <w:spacing w:val="-3"/>
          <w:sz w:val="16"/>
          <w:szCs w:val="16"/>
        </w:rPr>
      </w:pPr>
    </w:p>
    <w:p w14:paraId="33DD040B" w14:textId="77777777" w:rsidR="00EE25E9" w:rsidRPr="00C82AB7" w:rsidRDefault="00EE25E9" w:rsidP="00C82AB7">
      <w:pPr>
        <w:jc w:val="both"/>
        <w:rPr>
          <w:rFonts w:ascii="Arial" w:eastAsia="MS Mincho" w:hAnsi="Arial" w:cs="Arial"/>
          <w:bCs/>
          <w:spacing w:val="-3"/>
          <w:sz w:val="16"/>
          <w:szCs w:val="16"/>
          <w:lang w:val="es-ES_tradnl" w:eastAsia="es-CO"/>
        </w:rPr>
      </w:pPr>
      <w:r w:rsidRPr="00C82AB7">
        <w:rPr>
          <w:rFonts w:ascii="Arial" w:hAnsi="Arial" w:cs="Arial"/>
          <w:bCs/>
          <w:spacing w:val="-3"/>
          <w:sz w:val="16"/>
          <w:szCs w:val="16"/>
        </w:rPr>
        <w:t xml:space="preserve">Las sociedades administradoras o los distribuidores especializados pueden vincular inversionistas mediante el trámite contemplado en el presente numeral para la adquisición de participaciones de bajo monto en </w:t>
      </w:r>
      <w:proofErr w:type="spellStart"/>
      <w:r w:rsidRPr="00C82AB7">
        <w:rPr>
          <w:rFonts w:ascii="Arial" w:hAnsi="Arial" w:cs="Arial"/>
          <w:bCs/>
          <w:spacing w:val="-3"/>
          <w:sz w:val="16"/>
          <w:szCs w:val="16"/>
        </w:rPr>
        <w:t>FICs</w:t>
      </w:r>
      <w:proofErr w:type="spellEnd"/>
      <w:r w:rsidRPr="00C82AB7">
        <w:rPr>
          <w:rFonts w:ascii="Arial" w:hAnsi="Arial" w:cs="Arial"/>
          <w:bCs/>
          <w:spacing w:val="-3"/>
          <w:sz w:val="16"/>
          <w:szCs w:val="16"/>
        </w:rPr>
        <w:t xml:space="preserve">. En estos casos, el proceso para llevar a cabo el conocimiento de los clientes debe comprender la individualización de éstos a través de la verificación de la siguiente información contenida en el documento de identidad de los clientes: el tipo de documento de identidad, el nombre, el número y la fecha de expedición. Esta verificación se debe llevar a cabo al momento de la vinculación del cliente. </w:t>
      </w:r>
      <w:r w:rsidRPr="00C82AB7">
        <w:rPr>
          <w:rFonts w:ascii="Arial" w:eastAsia="MS Mincho" w:hAnsi="Arial" w:cs="Arial"/>
          <w:bCs/>
          <w:spacing w:val="-3"/>
          <w:sz w:val="16"/>
          <w:szCs w:val="16"/>
          <w:lang w:val="es-ES_tradnl" w:eastAsia="es-CO"/>
        </w:rPr>
        <w:t xml:space="preserve">Adicionalmente, las entidades deben dar cumplimiento a lo dispuesto en los </w:t>
      </w:r>
      <w:proofErr w:type="spellStart"/>
      <w:r w:rsidRPr="00C82AB7">
        <w:rPr>
          <w:rFonts w:ascii="Arial" w:eastAsia="MS Mincho" w:hAnsi="Arial" w:cs="Arial"/>
          <w:bCs/>
          <w:spacing w:val="-3"/>
          <w:sz w:val="16"/>
          <w:szCs w:val="16"/>
          <w:lang w:val="es-ES_tradnl" w:eastAsia="es-CO"/>
        </w:rPr>
        <w:t>subnumerales</w:t>
      </w:r>
      <w:proofErr w:type="spellEnd"/>
      <w:r w:rsidRPr="00C82AB7">
        <w:rPr>
          <w:rFonts w:ascii="Arial" w:eastAsia="MS Mincho" w:hAnsi="Arial" w:cs="Arial"/>
          <w:bCs/>
          <w:spacing w:val="-3"/>
          <w:sz w:val="16"/>
          <w:szCs w:val="16"/>
          <w:lang w:val="es-ES_tradnl" w:eastAsia="es-CO"/>
        </w:rPr>
        <w:t xml:space="preserve"> 4.2.2.1.4. y 4.2.2.2.1.1.2. del Capítulo IV del Título IV de la Parte 1 de la CBJ.</w:t>
      </w:r>
    </w:p>
    <w:p w14:paraId="40F0DD48" w14:textId="77777777" w:rsidR="00EE25E9" w:rsidRPr="00C82AB7" w:rsidRDefault="00EE25E9" w:rsidP="00C82AB7">
      <w:pPr>
        <w:jc w:val="both"/>
        <w:rPr>
          <w:rFonts w:ascii="Arial" w:hAnsi="Arial" w:cs="Arial"/>
          <w:bCs/>
          <w:spacing w:val="-3"/>
          <w:sz w:val="16"/>
          <w:szCs w:val="16"/>
        </w:rPr>
      </w:pPr>
    </w:p>
    <w:p w14:paraId="16F449B4" w14:textId="409269B6" w:rsidR="00AF376A" w:rsidRPr="00C82AB7" w:rsidRDefault="00EE25E9" w:rsidP="00C82AB7">
      <w:pPr>
        <w:ind w:right="-232"/>
        <w:jc w:val="both"/>
        <w:rPr>
          <w:rFonts w:ascii="Arial" w:eastAsia="MS Mincho" w:hAnsi="Arial" w:cs="Arial"/>
          <w:bCs/>
          <w:spacing w:val="-3"/>
          <w:sz w:val="16"/>
          <w:szCs w:val="16"/>
          <w:lang w:val="es-ES_tradnl" w:eastAsia="es-CO"/>
        </w:rPr>
      </w:pPr>
      <w:r w:rsidRPr="00C82AB7">
        <w:rPr>
          <w:rFonts w:ascii="Arial" w:hAnsi="Arial" w:cs="Arial"/>
          <w:bCs/>
          <w:spacing w:val="-3"/>
          <w:sz w:val="16"/>
          <w:szCs w:val="16"/>
        </w:rPr>
        <w:t xml:space="preserve">Las excepciones y reglas especiales contenidas en el presente numeral para la vinculación de clientes aplican únicamente para la adquisición de participaciones de bajo monto en </w:t>
      </w:r>
      <w:proofErr w:type="spellStart"/>
      <w:r w:rsidRPr="00C82AB7">
        <w:rPr>
          <w:rFonts w:ascii="Arial" w:hAnsi="Arial" w:cs="Arial"/>
          <w:bCs/>
          <w:spacing w:val="-3"/>
          <w:sz w:val="16"/>
          <w:szCs w:val="16"/>
        </w:rPr>
        <w:t>FICs</w:t>
      </w:r>
      <w:proofErr w:type="spellEnd"/>
      <w:r w:rsidRPr="00C82AB7">
        <w:rPr>
          <w:rFonts w:ascii="Arial" w:hAnsi="Arial" w:cs="Arial"/>
          <w:bCs/>
          <w:spacing w:val="-3"/>
          <w:sz w:val="16"/>
          <w:szCs w:val="16"/>
        </w:rPr>
        <w:t xml:space="preserve">. Por lo tanto, en el evento en que el inversionista (i) decida realizar una operación que supere el monto de sesenta y seis mil Unidades de Valor Real (66.000 UVR) </w:t>
      </w:r>
      <w:r w:rsidRPr="00C82AB7">
        <w:rPr>
          <w:rFonts w:ascii="Arial" w:eastAsia="MS Mincho" w:hAnsi="Arial" w:cs="Arial"/>
          <w:bCs/>
          <w:spacing w:val="-3"/>
          <w:sz w:val="16"/>
          <w:szCs w:val="16"/>
          <w:lang w:val="es-ES_tradnl" w:eastAsia="es-CO"/>
        </w:rPr>
        <w:t>vigentes al 31 de</w:t>
      </w:r>
      <w:r w:rsidR="00C82AB7">
        <w:rPr>
          <w:rFonts w:ascii="Arial" w:eastAsia="MS Mincho" w:hAnsi="Arial" w:cs="Arial"/>
          <w:bCs/>
          <w:spacing w:val="-3"/>
          <w:sz w:val="16"/>
          <w:szCs w:val="16"/>
          <w:lang w:val="es-ES_tradnl" w:eastAsia="es-CO"/>
        </w:rPr>
        <w:br/>
      </w:r>
    </w:p>
    <w:sectPr w:rsidR="00AF376A" w:rsidRPr="00C82AB7" w:rsidSect="00C53263">
      <w:headerReference w:type="default" r:id="rId11"/>
      <w:footerReference w:type="default" r:id="rId12"/>
      <w:pgSz w:w="12242" w:h="18711" w:code="166"/>
      <w:pgMar w:top="1701" w:right="1701" w:bottom="1135" w:left="1701" w:header="1134" w:footer="584" w:gutter="0"/>
      <w:paperSrc w:first="7" w:other="7"/>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5E91A" w14:textId="77777777" w:rsidR="00021018" w:rsidRDefault="00021018">
      <w:r>
        <w:separator/>
      </w:r>
    </w:p>
  </w:endnote>
  <w:endnote w:type="continuationSeparator" w:id="0">
    <w:p w14:paraId="56058F77" w14:textId="77777777" w:rsidR="00021018" w:rsidRDefault="00021018">
      <w:r>
        <w:continuationSeparator/>
      </w:r>
    </w:p>
  </w:endnote>
  <w:endnote w:type="continuationNotice" w:id="1">
    <w:p w14:paraId="5B75434F" w14:textId="77777777" w:rsidR="00021018" w:rsidRDefault="000210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1957A" w14:textId="77777777" w:rsidR="00C53263" w:rsidRDefault="00C53263" w:rsidP="00C53263">
    <w:pPr>
      <w:pStyle w:val="Piedepgina"/>
      <w:tabs>
        <w:tab w:val="clear" w:pos="8504"/>
        <w:tab w:val="right" w:pos="9356"/>
      </w:tabs>
      <w:rPr>
        <w:rFonts w:ascii="Arial" w:hAnsi="Arial" w:cs="Arial"/>
        <w:b/>
        <w:sz w:val="18"/>
        <w:szCs w:val="18"/>
        <w:lang w:val="es-CO"/>
      </w:rPr>
    </w:pPr>
    <w:r>
      <w:rPr>
        <w:rFonts w:ascii="Arial" w:hAnsi="Arial" w:cs="Arial"/>
        <w:b/>
        <w:sz w:val="18"/>
        <w:szCs w:val="18"/>
        <w:lang w:val="es-CO"/>
      </w:rPr>
      <w:t xml:space="preserve">PARTE III - TÍTULO </w:t>
    </w:r>
    <w:proofErr w:type="gramStart"/>
    <w:r>
      <w:rPr>
        <w:rFonts w:ascii="Arial" w:hAnsi="Arial" w:cs="Arial"/>
        <w:b/>
        <w:sz w:val="18"/>
        <w:szCs w:val="18"/>
        <w:lang w:val="es-CO"/>
      </w:rPr>
      <w:t>VI  -</w:t>
    </w:r>
    <w:proofErr w:type="gramEnd"/>
    <w:r>
      <w:rPr>
        <w:rFonts w:ascii="Arial" w:hAnsi="Arial" w:cs="Arial"/>
        <w:b/>
        <w:sz w:val="18"/>
        <w:szCs w:val="18"/>
        <w:lang w:val="es-CO"/>
      </w:rPr>
      <w:t xml:space="preserve"> CAPITULO V                                                                                               </w:t>
    </w:r>
    <w:r w:rsidRPr="00004FD2">
      <w:rPr>
        <w:rFonts w:ascii="Arial" w:hAnsi="Arial" w:cs="Arial"/>
        <w:b/>
        <w:sz w:val="18"/>
        <w:szCs w:val="18"/>
        <w:lang w:val="es-CO"/>
      </w:rPr>
      <w:t xml:space="preserve">PÁGINA </w:t>
    </w:r>
    <w:r w:rsidRPr="00004FD2">
      <w:rPr>
        <w:rFonts w:ascii="Arial" w:hAnsi="Arial" w:cs="Arial"/>
        <w:b/>
        <w:sz w:val="18"/>
        <w:szCs w:val="18"/>
        <w:lang w:val="es-CO"/>
      </w:rPr>
      <w:fldChar w:fldCharType="begin"/>
    </w:r>
    <w:r w:rsidRPr="00004FD2">
      <w:rPr>
        <w:rFonts w:ascii="Arial" w:hAnsi="Arial" w:cs="Arial"/>
        <w:b/>
        <w:sz w:val="18"/>
        <w:szCs w:val="18"/>
        <w:lang w:val="es-CO"/>
      </w:rPr>
      <w:instrText>PAGE   \* MERGEFORMAT</w:instrText>
    </w:r>
    <w:r w:rsidRPr="00004FD2">
      <w:rPr>
        <w:rFonts w:ascii="Arial" w:hAnsi="Arial" w:cs="Arial"/>
        <w:b/>
        <w:sz w:val="18"/>
        <w:szCs w:val="18"/>
        <w:lang w:val="es-CO"/>
      </w:rPr>
      <w:fldChar w:fldCharType="separate"/>
    </w:r>
    <w:r>
      <w:rPr>
        <w:rFonts w:ascii="Arial" w:hAnsi="Arial" w:cs="Arial"/>
        <w:b/>
        <w:sz w:val="18"/>
        <w:szCs w:val="18"/>
        <w:lang w:val="es-CO"/>
      </w:rPr>
      <w:t>6</w:t>
    </w:r>
    <w:r w:rsidRPr="00004FD2">
      <w:rPr>
        <w:rFonts w:ascii="Arial" w:hAnsi="Arial" w:cs="Arial"/>
        <w:b/>
        <w:sz w:val="18"/>
        <w:szCs w:val="18"/>
        <w:lang w:val="es-CO"/>
      </w:rPr>
      <w:fldChar w:fldCharType="end"/>
    </w:r>
  </w:p>
  <w:p w14:paraId="3F003BD1" w14:textId="40567881" w:rsidR="00593A16" w:rsidRPr="00C53263" w:rsidRDefault="00C53263" w:rsidP="00C53263">
    <w:pPr>
      <w:pStyle w:val="Piedepgina"/>
    </w:pPr>
    <w:r>
      <w:rPr>
        <w:rFonts w:ascii="Arial" w:hAnsi="Arial" w:cs="Arial"/>
        <w:b/>
        <w:sz w:val="18"/>
        <w:szCs w:val="18"/>
        <w:lang w:val="es-CO"/>
      </w:rPr>
      <w:t xml:space="preserve">CIRCULAR EXTERNA </w:t>
    </w:r>
    <w:r w:rsidR="00FF4073">
      <w:rPr>
        <w:rFonts w:ascii="Arial" w:hAnsi="Arial" w:cs="Arial"/>
        <w:b/>
        <w:sz w:val="18"/>
        <w:szCs w:val="18"/>
        <w:lang w:val="es-CO"/>
      </w:rPr>
      <w:t>011</w:t>
    </w:r>
    <w:r>
      <w:rPr>
        <w:rFonts w:ascii="Arial" w:hAnsi="Arial" w:cs="Arial"/>
        <w:b/>
        <w:sz w:val="18"/>
        <w:szCs w:val="18"/>
        <w:lang w:val="es-CO"/>
      </w:rPr>
      <w:t xml:space="preserve"> DE 202</w:t>
    </w:r>
    <w:r w:rsidR="00C82AB7">
      <w:rPr>
        <w:rFonts w:ascii="Arial" w:hAnsi="Arial" w:cs="Arial"/>
        <w:b/>
        <w:sz w:val="18"/>
        <w:szCs w:val="18"/>
        <w:lang w:val="es-CO"/>
      </w:rPr>
      <w:t>2</w:t>
    </w:r>
    <w:r>
      <w:rPr>
        <w:rFonts w:ascii="Arial" w:hAnsi="Arial" w:cs="Arial"/>
        <w:b/>
        <w:sz w:val="18"/>
        <w:szCs w:val="18"/>
        <w:lang w:val="es-CO"/>
      </w:rPr>
      <w:t xml:space="preserve">                                                                             </w:t>
    </w:r>
    <w:r w:rsidR="00C82AB7">
      <w:rPr>
        <w:rFonts w:ascii="Arial" w:hAnsi="Arial" w:cs="Arial"/>
        <w:b/>
        <w:sz w:val="18"/>
        <w:szCs w:val="18"/>
        <w:lang w:val="es-CO"/>
      </w:rPr>
      <w:t xml:space="preserve">               </w:t>
    </w:r>
    <w:r w:rsidR="00D93DD1">
      <w:rPr>
        <w:rFonts w:ascii="Arial" w:hAnsi="Arial" w:cs="Arial"/>
        <w:b/>
        <w:sz w:val="18"/>
        <w:szCs w:val="18"/>
        <w:lang w:val="es-CO"/>
      </w:rPr>
      <w:t xml:space="preserve"> </w:t>
    </w:r>
    <w:proofErr w:type="gramStart"/>
    <w:r w:rsidR="00D93DD1">
      <w:rPr>
        <w:rFonts w:ascii="Arial" w:hAnsi="Arial" w:cs="Arial"/>
        <w:b/>
        <w:sz w:val="18"/>
        <w:szCs w:val="18"/>
        <w:lang w:val="es-CO"/>
      </w:rPr>
      <w:t>Mayo</w:t>
    </w:r>
    <w:proofErr w:type="gramEnd"/>
    <w:r w:rsidR="00D93DD1">
      <w:rPr>
        <w:rFonts w:ascii="Arial" w:hAnsi="Arial" w:cs="Arial"/>
        <w:b/>
        <w:sz w:val="18"/>
        <w:szCs w:val="18"/>
        <w:lang w:val="es-CO"/>
      </w:rPr>
      <w:t xml:space="preserve"> de </w:t>
    </w:r>
    <w:r w:rsidR="00C82AB7">
      <w:rPr>
        <w:rFonts w:ascii="Arial" w:hAnsi="Arial" w:cs="Arial"/>
        <w:b/>
        <w:sz w:val="18"/>
        <w:szCs w:val="18"/>
        <w:lang w:val="es-CO"/>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46EBF" w14:textId="77777777" w:rsidR="00021018" w:rsidRDefault="00021018">
      <w:r>
        <w:rPr>
          <w:color w:val="000000"/>
        </w:rPr>
        <w:separator/>
      </w:r>
    </w:p>
  </w:footnote>
  <w:footnote w:type="continuationSeparator" w:id="0">
    <w:p w14:paraId="66462DCB" w14:textId="77777777" w:rsidR="00021018" w:rsidRDefault="00021018">
      <w:r>
        <w:continuationSeparator/>
      </w:r>
    </w:p>
  </w:footnote>
  <w:footnote w:type="continuationNotice" w:id="1">
    <w:p w14:paraId="1AFD7205" w14:textId="77777777" w:rsidR="00021018" w:rsidRDefault="000210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5881D" w14:textId="77777777" w:rsidR="00EE25E9" w:rsidRPr="00A10D8F" w:rsidRDefault="00EE25E9" w:rsidP="00EE25E9">
    <w:pPr>
      <w:pStyle w:val="Encabezado"/>
      <w:jc w:val="center"/>
      <w:rPr>
        <w:rFonts w:ascii="Arial" w:hAnsi="Arial" w:cs="Arial"/>
        <w:sz w:val="24"/>
        <w:szCs w:val="24"/>
      </w:rPr>
    </w:pPr>
    <w:r w:rsidRPr="00A10D8F">
      <w:rPr>
        <w:rFonts w:ascii="Arial" w:hAnsi="Arial" w:cs="Arial"/>
        <w:b/>
        <w:sz w:val="24"/>
        <w:szCs w:val="24"/>
        <w:lang w:val="es-MX"/>
      </w:rPr>
      <w:t>SUPERINTENDENCIA FINANCIERA DE COLOMBIA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B09AA"/>
    <w:multiLevelType w:val="multilevel"/>
    <w:tmpl w:val="05329122"/>
    <w:styleLink w:val="WWOutlineListStyle15"/>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04BF3970"/>
    <w:multiLevelType w:val="multilevel"/>
    <w:tmpl w:val="94645EC0"/>
    <w:styleLink w:val="WWOutlineListStyle11"/>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9257DC6"/>
    <w:multiLevelType w:val="multilevel"/>
    <w:tmpl w:val="C76AA6EC"/>
    <w:styleLink w:val="WWOutlineListStyle9"/>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0B4D4993"/>
    <w:multiLevelType w:val="multilevel"/>
    <w:tmpl w:val="B1E65BEC"/>
    <w:styleLink w:val="WWOutlineListStyle12"/>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120E5E14"/>
    <w:multiLevelType w:val="multilevel"/>
    <w:tmpl w:val="1500EB9C"/>
    <w:styleLink w:val="Estilo4"/>
    <w:lvl w:ilvl="0">
      <w:start w:val="6"/>
      <w:numFmt w:val="decimal"/>
      <w:lvlText w:val="%1"/>
      <w:lvlJc w:val="left"/>
      <w:pPr>
        <w:ind w:left="432" w:hanging="432"/>
      </w:pPr>
      <w:rPr>
        <w:rFonts w:hint="default"/>
        <w:sz w:val="18"/>
        <w:szCs w:val="22"/>
        <w:vertAlign w:val="baseline"/>
      </w:rPr>
    </w:lvl>
    <w:lvl w:ilvl="1">
      <w:start w:val="1"/>
      <w:numFmt w:val="decimal"/>
      <w:lvlText w:val="%1.%2"/>
      <w:lvlJc w:val="left"/>
      <w:pPr>
        <w:ind w:left="576" w:hanging="576"/>
      </w:pPr>
      <w:rPr>
        <w:rFonts w:hint="default"/>
        <w:sz w:val="18"/>
        <w:szCs w:val="18"/>
        <w:vertAlign w:val="baseline"/>
      </w:rPr>
    </w:lvl>
    <w:lvl w:ilvl="2">
      <w:start w:val="1"/>
      <w:numFmt w:val="decimal"/>
      <w:lvlText w:val="%1.%2.%3"/>
      <w:lvlJc w:val="left"/>
      <w:pPr>
        <w:ind w:left="720" w:hanging="720"/>
      </w:pPr>
      <w:rPr>
        <w:rFonts w:hint="default"/>
        <w:sz w:val="22"/>
        <w:szCs w:val="22"/>
        <w:vertAlign w:val="base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4702E15"/>
    <w:multiLevelType w:val="multilevel"/>
    <w:tmpl w:val="4E404CEA"/>
    <w:styleLink w:val="WWOutlineListStyle6"/>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6765029"/>
    <w:multiLevelType w:val="multilevel"/>
    <w:tmpl w:val="1500EB9C"/>
    <w:styleLink w:val="Estilo2"/>
    <w:lvl w:ilvl="0">
      <w:start w:val="3"/>
      <w:numFmt w:val="decimal"/>
      <w:lvlText w:val="%1"/>
      <w:lvlJc w:val="left"/>
      <w:pPr>
        <w:ind w:left="432" w:hanging="432"/>
      </w:pPr>
      <w:rPr>
        <w:rFonts w:hint="default"/>
        <w:sz w:val="18"/>
        <w:szCs w:val="22"/>
        <w:vertAlign w:val="baseline"/>
      </w:rPr>
    </w:lvl>
    <w:lvl w:ilvl="1">
      <w:start w:val="1"/>
      <w:numFmt w:val="decimal"/>
      <w:lvlText w:val="%1.%2"/>
      <w:lvlJc w:val="left"/>
      <w:pPr>
        <w:ind w:left="576" w:hanging="576"/>
      </w:pPr>
      <w:rPr>
        <w:rFonts w:hint="default"/>
        <w:sz w:val="18"/>
        <w:szCs w:val="18"/>
        <w:vertAlign w:val="baseline"/>
      </w:rPr>
    </w:lvl>
    <w:lvl w:ilvl="2">
      <w:start w:val="1"/>
      <w:numFmt w:val="decimal"/>
      <w:lvlText w:val="%1.%2.%3"/>
      <w:lvlJc w:val="left"/>
      <w:pPr>
        <w:ind w:left="720" w:hanging="720"/>
      </w:pPr>
      <w:rPr>
        <w:rFonts w:hint="default"/>
        <w:sz w:val="22"/>
        <w:szCs w:val="22"/>
        <w:vertAlign w:val="base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C466A93"/>
    <w:multiLevelType w:val="multilevel"/>
    <w:tmpl w:val="10C82FD8"/>
    <w:lvl w:ilvl="0">
      <w:start w:val="1"/>
      <w:numFmt w:val="decimal"/>
      <w:lvlText w:val="%1."/>
      <w:lvlJc w:val="left"/>
      <w:pPr>
        <w:tabs>
          <w:tab w:val="num" w:pos="360"/>
        </w:tabs>
        <w:ind w:left="360" w:hanging="360"/>
      </w:pPr>
      <w:rPr>
        <w:rFonts w:ascii="Arial" w:hAnsi="Arial" w:cs="Arial" w:hint="default"/>
        <w:b/>
        <w:sz w:val="18"/>
      </w:rPr>
    </w:lvl>
    <w:lvl w:ilvl="1">
      <w:start w:val="1"/>
      <w:numFmt w:val="decimal"/>
      <w:pStyle w:val="Titulo"/>
      <w:lvlText w:val="%1.%2."/>
      <w:lvlJc w:val="left"/>
      <w:pPr>
        <w:tabs>
          <w:tab w:val="num" w:pos="567"/>
        </w:tabs>
        <w:ind w:left="567" w:hanging="567"/>
      </w:pPr>
      <w:rPr>
        <w:rFonts w:ascii="Arial" w:hAnsi="Arial" w:cs="Arial" w:hint="default"/>
        <w:b/>
        <w:i w:val="0"/>
        <w:sz w:val="18"/>
      </w:rPr>
    </w:lvl>
    <w:lvl w:ilvl="2">
      <w:start w:val="1"/>
      <w:numFmt w:val="decimal"/>
      <w:lvlText w:val="%1.%2.%3."/>
      <w:lvlJc w:val="left"/>
      <w:pPr>
        <w:tabs>
          <w:tab w:val="num" w:pos="720"/>
        </w:tabs>
        <w:ind w:left="1077" w:hanging="720"/>
      </w:pPr>
      <w:rPr>
        <w:rFonts w:ascii="Arial" w:hAnsi="Arial" w:cs="Arial" w:hint="default"/>
        <w:b/>
        <w:i w:val="0"/>
        <w:sz w:val="18"/>
      </w:rPr>
    </w:lvl>
    <w:lvl w:ilvl="3">
      <w:start w:val="1"/>
      <w:numFmt w:val="decimal"/>
      <w:lvlText w:val="%1.%2.%3.%4"/>
      <w:lvlJc w:val="left"/>
      <w:pPr>
        <w:tabs>
          <w:tab w:val="num" w:pos="1080"/>
        </w:tabs>
        <w:ind w:left="1080" w:hanging="1080"/>
      </w:pPr>
      <w:rPr>
        <w:rFonts w:cs="Arial" w:hint="default"/>
        <w:b/>
      </w:rPr>
    </w:lvl>
    <w:lvl w:ilvl="4">
      <w:start w:val="1"/>
      <w:numFmt w:val="decimal"/>
      <w:lvlText w:val="%1.%2.%3.%4.%5"/>
      <w:lvlJc w:val="left"/>
      <w:pPr>
        <w:tabs>
          <w:tab w:val="num" w:pos="1080"/>
        </w:tabs>
        <w:ind w:left="1080" w:hanging="1080"/>
      </w:pPr>
      <w:rPr>
        <w:rFonts w:cs="Arial" w:hint="default"/>
        <w:b/>
      </w:rPr>
    </w:lvl>
    <w:lvl w:ilvl="5">
      <w:start w:val="1"/>
      <w:numFmt w:val="decimal"/>
      <w:lvlText w:val="%1.%2.%3.%4.%5.%6"/>
      <w:lvlJc w:val="left"/>
      <w:pPr>
        <w:tabs>
          <w:tab w:val="num" w:pos="1440"/>
        </w:tabs>
        <w:ind w:left="1440" w:hanging="1440"/>
      </w:pPr>
      <w:rPr>
        <w:rFonts w:cs="Arial" w:hint="default"/>
        <w:b/>
      </w:rPr>
    </w:lvl>
    <w:lvl w:ilvl="6">
      <w:start w:val="1"/>
      <w:numFmt w:val="decimal"/>
      <w:lvlText w:val="%1.%2.%3.%4.%5.%6.%7"/>
      <w:lvlJc w:val="left"/>
      <w:pPr>
        <w:tabs>
          <w:tab w:val="num" w:pos="1440"/>
        </w:tabs>
        <w:ind w:left="1440" w:hanging="1440"/>
      </w:pPr>
      <w:rPr>
        <w:rFonts w:cs="Arial" w:hint="default"/>
        <w:b/>
      </w:rPr>
    </w:lvl>
    <w:lvl w:ilvl="7">
      <w:start w:val="1"/>
      <w:numFmt w:val="decimal"/>
      <w:lvlText w:val="%1.%2.%3.%4.%5.%6.%7.%8"/>
      <w:lvlJc w:val="left"/>
      <w:pPr>
        <w:tabs>
          <w:tab w:val="num" w:pos="1800"/>
        </w:tabs>
        <w:ind w:left="1800" w:hanging="1800"/>
      </w:pPr>
      <w:rPr>
        <w:rFonts w:cs="Arial" w:hint="default"/>
        <w:b/>
      </w:rPr>
    </w:lvl>
    <w:lvl w:ilvl="8">
      <w:start w:val="1"/>
      <w:numFmt w:val="decimal"/>
      <w:lvlText w:val="%1.%2.%3.%4.%5.%6.%7.%8.%9"/>
      <w:lvlJc w:val="left"/>
      <w:pPr>
        <w:tabs>
          <w:tab w:val="num" w:pos="1800"/>
        </w:tabs>
        <w:ind w:left="1800" w:hanging="1800"/>
      </w:pPr>
      <w:rPr>
        <w:rFonts w:cs="Arial" w:hint="default"/>
        <w:b/>
      </w:rPr>
    </w:lvl>
  </w:abstractNum>
  <w:abstractNum w:abstractNumId="8" w15:restartNumberingAfterBreak="0">
    <w:nsid w:val="1D0D1FD1"/>
    <w:multiLevelType w:val="multilevel"/>
    <w:tmpl w:val="BFB2B18A"/>
    <w:styleLink w:val="WWOutlineListStyle5"/>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1DD94210"/>
    <w:multiLevelType w:val="multilevel"/>
    <w:tmpl w:val="661CDB72"/>
    <w:styleLink w:val="WWOutlineListStyle"/>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1E3B7BF2"/>
    <w:multiLevelType w:val="multilevel"/>
    <w:tmpl w:val="1500EB9C"/>
    <w:styleLink w:val="Estilo3"/>
    <w:lvl w:ilvl="0">
      <w:start w:val="5"/>
      <w:numFmt w:val="decimal"/>
      <w:lvlText w:val="%1"/>
      <w:lvlJc w:val="left"/>
      <w:pPr>
        <w:ind w:left="432" w:hanging="432"/>
      </w:pPr>
      <w:rPr>
        <w:rFonts w:hint="default"/>
        <w:sz w:val="18"/>
        <w:szCs w:val="22"/>
        <w:vertAlign w:val="baseline"/>
      </w:rPr>
    </w:lvl>
    <w:lvl w:ilvl="1">
      <w:start w:val="1"/>
      <w:numFmt w:val="decimal"/>
      <w:lvlText w:val="%1.%2"/>
      <w:lvlJc w:val="left"/>
      <w:pPr>
        <w:ind w:left="576" w:hanging="576"/>
      </w:pPr>
      <w:rPr>
        <w:rFonts w:hint="default"/>
        <w:sz w:val="18"/>
        <w:szCs w:val="18"/>
        <w:vertAlign w:val="baseline"/>
      </w:rPr>
    </w:lvl>
    <w:lvl w:ilvl="2">
      <w:start w:val="1"/>
      <w:numFmt w:val="decimal"/>
      <w:lvlText w:val="%1.%2.%3"/>
      <w:lvlJc w:val="left"/>
      <w:pPr>
        <w:ind w:left="720" w:hanging="720"/>
      </w:pPr>
      <w:rPr>
        <w:rFonts w:hint="default"/>
        <w:sz w:val="22"/>
        <w:szCs w:val="22"/>
        <w:vertAlign w:val="base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4494998"/>
    <w:multiLevelType w:val="multilevel"/>
    <w:tmpl w:val="2B104FE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4743C18"/>
    <w:multiLevelType w:val="multilevel"/>
    <w:tmpl w:val="5F8A9502"/>
    <w:styleLink w:val="WWOutlineListStyle8"/>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2C6E2F69"/>
    <w:multiLevelType w:val="multilevel"/>
    <w:tmpl w:val="FAFC48FA"/>
    <w:styleLink w:val="WWOutlineListStyle14"/>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31607A13"/>
    <w:multiLevelType w:val="multilevel"/>
    <w:tmpl w:val="E7F0673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4DB7DD1"/>
    <w:multiLevelType w:val="multilevel"/>
    <w:tmpl w:val="40A8C590"/>
    <w:styleLink w:val="WWOutlineListStyle2"/>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34F558A0"/>
    <w:multiLevelType w:val="multilevel"/>
    <w:tmpl w:val="5218F2FA"/>
    <w:styleLink w:val="WWOutlineListStyle10"/>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39D323F5"/>
    <w:multiLevelType w:val="multilevel"/>
    <w:tmpl w:val="612E7B7A"/>
    <w:styleLink w:val="WWOutlineListStyle4"/>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471D6A5F"/>
    <w:multiLevelType w:val="multilevel"/>
    <w:tmpl w:val="F32C6AAA"/>
    <w:styleLink w:val="WWOutlineListStyle3"/>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500A5C6B"/>
    <w:multiLevelType w:val="multilevel"/>
    <w:tmpl w:val="1500EB9C"/>
    <w:styleLink w:val="Estilo1"/>
    <w:lvl w:ilvl="0">
      <w:start w:val="2"/>
      <w:numFmt w:val="decimal"/>
      <w:lvlText w:val="%1"/>
      <w:lvlJc w:val="left"/>
      <w:pPr>
        <w:ind w:left="432" w:hanging="432"/>
      </w:pPr>
      <w:rPr>
        <w:rFonts w:hint="default"/>
        <w:sz w:val="18"/>
        <w:szCs w:val="22"/>
        <w:vertAlign w:val="baseline"/>
      </w:rPr>
    </w:lvl>
    <w:lvl w:ilvl="1">
      <w:start w:val="1"/>
      <w:numFmt w:val="decimal"/>
      <w:lvlText w:val="%1.%2"/>
      <w:lvlJc w:val="left"/>
      <w:pPr>
        <w:ind w:left="576" w:hanging="576"/>
      </w:pPr>
      <w:rPr>
        <w:rFonts w:hint="default"/>
        <w:sz w:val="18"/>
        <w:szCs w:val="18"/>
        <w:vertAlign w:val="baseline"/>
      </w:rPr>
    </w:lvl>
    <w:lvl w:ilvl="2">
      <w:start w:val="1"/>
      <w:numFmt w:val="decimal"/>
      <w:lvlText w:val="%1.%2.%3"/>
      <w:lvlJc w:val="left"/>
      <w:pPr>
        <w:ind w:left="720" w:hanging="720"/>
      </w:pPr>
      <w:rPr>
        <w:rFonts w:hint="default"/>
        <w:sz w:val="22"/>
        <w:szCs w:val="22"/>
        <w:vertAlign w:val="base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52D800DB"/>
    <w:multiLevelType w:val="multilevel"/>
    <w:tmpl w:val="E572F9E2"/>
    <w:styleLink w:val="WWOutlineListStyle16"/>
    <w:lvl w:ilvl="0">
      <w:start w:val="1"/>
      <w:numFmt w:val="decimal"/>
      <w:pStyle w:val="Ttulo1"/>
      <w:lvlText w:val="%1."/>
      <w:lvlJc w:val="left"/>
      <w:pPr>
        <w:ind w:left="720" w:hanging="72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670038D4"/>
    <w:multiLevelType w:val="multilevel"/>
    <w:tmpl w:val="98CAFF0C"/>
    <w:styleLink w:val="WWOutlineListStyle1"/>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75157FE8"/>
    <w:multiLevelType w:val="multilevel"/>
    <w:tmpl w:val="9600097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57E46EA"/>
    <w:multiLevelType w:val="multilevel"/>
    <w:tmpl w:val="87484FD6"/>
    <w:styleLink w:val="WWOutlineListStyle7"/>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78E82440"/>
    <w:multiLevelType w:val="multilevel"/>
    <w:tmpl w:val="BB7C3D90"/>
    <w:styleLink w:val="WWOutlineListStyle13"/>
    <w:lvl w:ilvl="0">
      <w:start w:val="1"/>
      <w:numFmt w:val="decimal"/>
      <w:lvlText w:val="%1."/>
      <w:lvlJc w:val="left"/>
      <w:pPr>
        <w:ind w:left="720" w:hanging="72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1986818393">
    <w:abstractNumId w:val="20"/>
  </w:num>
  <w:num w:numId="2" w16cid:durableId="1500342180">
    <w:abstractNumId w:val="0"/>
  </w:num>
  <w:num w:numId="3" w16cid:durableId="1264266036">
    <w:abstractNumId w:val="13"/>
  </w:num>
  <w:num w:numId="4" w16cid:durableId="1447195699">
    <w:abstractNumId w:val="24"/>
  </w:num>
  <w:num w:numId="5" w16cid:durableId="338435441">
    <w:abstractNumId w:val="3"/>
  </w:num>
  <w:num w:numId="6" w16cid:durableId="79182807">
    <w:abstractNumId w:val="1"/>
  </w:num>
  <w:num w:numId="7" w16cid:durableId="590047293">
    <w:abstractNumId w:val="16"/>
  </w:num>
  <w:num w:numId="8" w16cid:durableId="2098865523">
    <w:abstractNumId w:val="2"/>
  </w:num>
  <w:num w:numId="9" w16cid:durableId="1872453958">
    <w:abstractNumId w:val="12"/>
  </w:num>
  <w:num w:numId="10" w16cid:durableId="868638294">
    <w:abstractNumId w:val="23"/>
  </w:num>
  <w:num w:numId="11" w16cid:durableId="1143810627">
    <w:abstractNumId w:val="5"/>
  </w:num>
  <w:num w:numId="12" w16cid:durableId="1219439179">
    <w:abstractNumId w:val="8"/>
  </w:num>
  <w:num w:numId="13" w16cid:durableId="1584488856">
    <w:abstractNumId w:val="17"/>
  </w:num>
  <w:num w:numId="14" w16cid:durableId="1764229831">
    <w:abstractNumId w:val="18"/>
  </w:num>
  <w:num w:numId="15" w16cid:durableId="104464686">
    <w:abstractNumId w:val="15"/>
  </w:num>
  <w:num w:numId="16" w16cid:durableId="896018114">
    <w:abstractNumId w:val="21"/>
  </w:num>
  <w:num w:numId="17" w16cid:durableId="1051423235">
    <w:abstractNumId w:val="9"/>
  </w:num>
  <w:num w:numId="18" w16cid:durableId="995648551">
    <w:abstractNumId w:val="7"/>
  </w:num>
  <w:num w:numId="19" w16cid:durableId="1897619950">
    <w:abstractNumId w:val="19"/>
  </w:num>
  <w:num w:numId="20" w16cid:durableId="147597966">
    <w:abstractNumId w:val="6"/>
  </w:num>
  <w:num w:numId="21" w16cid:durableId="1911454202">
    <w:abstractNumId w:val="10"/>
  </w:num>
  <w:num w:numId="22" w16cid:durableId="658118940">
    <w:abstractNumId w:val="4"/>
  </w:num>
  <w:num w:numId="23" w16cid:durableId="1746033361">
    <w:abstractNumId w:val="11"/>
  </w:num>
  <w:num w:numId="24" w16cid:durableId="653029356">
    <w:abstractNumId w:val="14"/>
  </w:num>
  <w:num w:numId="25" w16cid:durableId="1667781964">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669"/>
    <w:rsid w:val="000009F8"/>
    <w:rsid w:val="00000D18"/>
    <w:rsid w:val="00004FD2"/>
    <w:rsid w:val="00013181"/>
    <w:rsid w:val="0001538C"/>
    <w:rsid w:val="000158AD"/>
    <w:rsid w:val="00017E78"/>
    <w:rsid w:val="00021018"/>
    <w:rsid w:val="00024EB3"/>
    <w:rsid w:val="000337EB"/>
    <w:rsid w:val="0003456F"/>
    <w:rsid w:val="000362E4"/>
    <w:rsid w:val="00036958"/>
    <w:rsid w:val="00046C2B"/>
    <w:rsid w:val="00050AA3"/>
    <w:rsid w:val="00054081"/>
    <w:rsid w:val="000544DC"/>
    <w:rsid w:val="000555BB"/>
    <w:rsid w:val="00055E17"/>
    <w:rsid w:val="00056228"/>
    <w:rsid w:val="00062A5F"/>
    <w:rsid w:val="00062B3E"/>
    <w:rsid w:val="00062F2C"/>
    <w:rsid w:val="00063CD4"/>
    <w:rsid w:val="0006490F"/>
    <w:rsid w:val="00065211"/>
    <w:rsid w:val="00075446"/>
    <w:rsid w:val="000774E9"/>
    <w:rsid w:val="0008167A"/>
    <w:rsid w:val="000823DC"/>
    <w:rsid w:val="0008251E"/>
    <w:rsid w:val="00085122"/>
    <w:rsid w:val="000867A9"/>
    <w:rsid w:val="00087D54"/>
    <w:rsid w:val="0009188A"/>
    <w:rsid w:val="00091D24"/>
    <w:rsid w:val="00095172"/>
    <w:rsid w:val="0009650D"/>
    <w:rsid w:val="00096727"/>
    <w:rsid w:val="00097F3B"/>
    <w:rsid w:val="000A019F"/>
    <w:rsid w:val="000A3A67"/>
    <w:rsid w:val="000A4FFB"/>
    <w:rsid w:val="000A772D"/>
    <w:rsid w:val="000A7DE6"/>
    <w:rsid w:val="000B0C04"/>
    <w:rsid w:val="000B3355"/>
    <w:rsid w:val="000B34C2"/>
    <w:rsid w:val="000B6F82"/>
    <w:rsid w:val="000B71BF"/>
    <w:rsid w:val="000C1FAF"/>
    <w:rsid w:val="000C224D"/>
    <w:rsid w:val="000C5E3E"/>
    <w:rsid w:val="000D04C4"/>
    <w:rsid w:val="000D1065"/>
    <w:rsid w:val="000D17DC"/>
    <w:rsid w:val="000D5CDE"/>
    <w:rsid w:val="000E616B"/>
    <w:rsid w:val="000E63C1"/>
    <w:rsid w:val="000E74B5"/>
    <w:rsid w:val="000F13EB"/>
    <w:rsid w:val="000F143C"/>
    <w:rsid w:val="000F3B09"/>
    <w:rsid w:val="000F44CF"/>
    <w:rsid w:val="000F554F"/>
    <w:rsid w:val="00100318"/>
    <w:rsid w:val="001110A5"/>
    <w:rsid w:val="00123967"/>
    <w:rsid w:val="00124F23"/>
    <w:rsid w:val="00136E63"/>
    <w:rsid w:val="00137F91"/>
    <w:rsid w:val="00140DA9"/>
    <w:rsid w:val="001419B2"/>
    <w:rsid w:val="00155C0F"/>
    <w:rsid w:val="00156AF8"/>
    <w:rsid w:val="00157456"/>
    <w:rsid w:val="00160E6C"/>
    <w:rsid w:val="0016252D"/>
    <w:rsid w:val="0016292A"/>
    <w:rsid w:val="0016305B"/>
    <w:rsid w:val="00170F63"/>
    <w:rsid w:val="0017192E"/>
    <w:rsid w:val="00176B91"/>
    <w:rsid w:val="001770B2"/>
    <w:rsid w:val="0018137C"/>
    <w:rsid w:val="001841DD"/>
    <w:rsid w:val="00184308"/>
    <w:rsid w:val="0019012B"/>
    <w:rsid w:val="00190B6B"/>
    <w:rsid w:val="001921D7"/>
    <w:rsid w:val="00195684"/>
    <w:rsid w:val="001A1126"/>
    <w:rsid w:val="001A17BB"/>
    <w:rsid w:val="001A1EDF"/>
    <w:rsid w:val="001A23F7"/>
    <w:rsid w:val="001A24E0"/>
    <w:rsid w:val="001A391F"/>
    <w:rsid w:val="001A56BF"/>
    <w:rsid w:val="001B20A7"/>
    <w:rsid w:val="001C3DB0"/>
    <w:rsid w:val="001C515E"/>
    <w:rsid w:val="001C532C"/>
    <w:rsid w:val="001C7813"/>
    <w:rsid w:val="001D0180"/>
    <w:rsid w:val="001D079B"/>
    <w:rsid w:val="001D0FCC"/>
    <w:rsid w:val="001D1CBD"/>
    <w:rsid w:val="001D51C6"/>
    <w:rsid w:val="001D7E0F"/>
    <w:rsid w:val="001E0436"/>
    <w:rsid w:val="001E174C"/>
    <w:rsid w:val="001F089C"/>
    <w:rsid w:val="001F140D"/>
    <w:rsid w:val="001F1D35"/>
    <w:rsid w:val="001F6577"/>
    <w:rsid w:val="00200015"/>
    <w:rsid w:val="00207696"/>
    <w:rsid w:val="00207FCB"/>
    <w:rsid w:val="00211B44"/>
    <w:rsid w:val="0021303F"/>
    <w:rsid w:val="00213769"/>
    <w:rsid w:val="00217BB6"/>
    <w:rsid w:val="00221939"/>
    <w:rsid w:val="00230D04"/>
    <w:rsid w:val="00232C06"/>
    <w:rsid w:val="00233FD4"/>
    <w:rsid w:val="00234AC4"/>
    <w:rsid w:val="002356E3"/>
    <w:rsid w:val="002369EC"/>
    <w:rsid w:val="002413A6"/>
    <w:rsid w:val="0024352E"/>
    <w:rsid w:val="00246115"/>
    <w:rsid w:val="002466F8"/>
    <w:rsid w:val="00246AE2"/>
    <w:rsid w:val="0024709D"/>
    <w:rsid w:val="00247313"/>
    <w:rsid w:val="00250F04"/>
    <w:rsid w:val="00254150"/>
    <w:rsid w:val="00256D70"/>
    <w:rsid w:val="002609B6"/>
    <w:rsid w:val="00260B2A"/>
    <w:rsid w:val="002661D3"/>
    <w:rsid w:val="00272FF3"/>
    <w:rsid w:val="00275E97"/>
    <w:rsid w:val="00276D18"/>
    <w:rsid w:val="0028063A"/>
    <w:rsid w:val="00285CE1"/>
    <w:rsid w:val="00286D6E"/>
    <w:rsid w:val="00287CBA"/>
    <w:rsid w:val="00292022"/>
    <w:rsid w:val="002932C7"/>
    <w:rsid w:val="0029545D"/>
    <w:rsid w:val="00295BAB"/>
    <w:rsid w:val="00296E4D"/>
    <w:rsid w:val="002B5AD5"/>
    <w:rsid w:val="002B69C4"/>
    <w:rsid w:val="002B74E7"/>
    <w:rsid w:val="002C03A1"/>
    <w:rsid w:val="002C6593"/>
    <w:rsid w:val="002D04D4"/>
    <w:rsid w:val="002D1687"/>
    <w:rsid w:val="002D1E38"/>
    <w:rsid w:val="002D3CAB"/>
    <w:rsid w:val="002D469A"/>
    <w:rsid w:val="002D4B26"/>
    <w:rsid w:val="002D5D94"/>
    <w:rsid w:val="002D78EB"/>
    <w:rsid w:val="002D7DC6"/>
    <w:rsid w:val="002E24FB"/>
    <w:rsid w:val="002E7340"/>
    <w:rsid w:val="002E7F22"/>
    <w:rsid w:val="002F064D"/>
    <w:rsid w:val="002F26C1"/>
    <w:rsid w:val="002F3E34"/>
    <w:rsid w:val="002F4486"/>
    <w:rsid w:val="002F6F8E"/>
    <w:rsid w:val="00300B4D"/>
    <w:rsid w:val="00301DD1"/>
    <w:rsid w:val="00302CC4"/>
    <w:rsid w:val="0030309D"/>
    <w:rsid w:val="0030335A"/>
    <w:rsid w:val="00307144"/>
    <w:rsid w:val="00314F8D"/>
    <w:rsid w:val="00314FBA"/>
    <w:rsid w:val="0031579E"/>
    <w:rsid w:val="00316865"/>
    <w:rsid w:val="003201B6"/>
    <w:rsid w:val="00324389"/>
    <w:rsid w:val="00325D17"/>
    <w:rsid w:val="0033037B"/>
    <w:rsid w:val="00331122"/>
    <w:rsid w:val="00332046"/>
    <w:rsid w:val="00336743"/>
    <w:rsid w:val="00337177"/>
    <w:rsid w:val="00342595"/>
    <w:rsid w:val="00342D59"/>
    <w:rsid w:val="00343703"/>
    <w:rsid w:val="00344AF8"/>
    <w:rsid w:val="00344CCF"/>
    <w:rsid w:val="00346141"/>
    <w:rsid w:val="00347ADE"/>
    <w:rsid w:val="00351F7A"/>
    <w:rsid w:val="0035377D"/>
    <w:rsid w:val="003546DB"/>
    <w:rsid w:val="00360889"/>
    <w:rsid w:val="00361AC2"/>
    <w:rsid w:val="00364DF0"/>
    <w:rsid w:val="00364FA9"/>
    <w:rsid w:val="00370A28"/>
    <w:rsid w:val="003715BF"/>
    <w:rsid w:val="00372BD3"/>
    <w:rsid w:val="00375746"/>
    <w:rsid w:val="0037625E"/>
    <w:rsid w:val="00380048"/>
    <w:rsid w:val="0038043C"/>
    <w:rsid w:val="003862FD"/>
    <w:rsid w:val="003928FD"/>
    <w:rsid w:val="00394065"/>
    <w:rsid w:val="00395E76"/>
    <w:rsid w:val="003972EA"/>
    <w:rsid w:val="003A0269"/>
    <w:rsid w:val="003A05D0"/>
    <w:rsid w:val="003A08AE"/>
    <w:rsid w:val="003A2A34"/>
    <w:rsid w:val="003A39C9"/>
    <w:rsid w:val="003A50E4"/>
    <w:rsid w:val="003A56C0"/>
    <w:rsid w:val="003A6143"/>
    <w:rsid w:val="003B0E0C"/>
    <w:rsid w:val="003B1C42"/>
    <w:rsid w:val="003B2705"/>
    <w:rsid w:val="003B3519"/>
    <w:rsid w:val="003C0F82"/>
    <w:rsid w:val="003C21FA"/>
    <w:rsid w:val="003C332D"/>
    <w:rsid w:val="003D25F9"/>
    <w:rsid w:val="003D596B"/>
    <w:rsid w:val="003E3AAD"/>
    <w:rsid w:val="003E6BBB"/>
    <w:rsid w:val="003E6CA5"/>
    <w:rsid w:val="003E73F9"/>
    <w:rsid w:val="003E7552"/>
    <w:rsid w:val="003F339E"/>
    <w:rsid w:val="003F4B16"/>
    <w:rsid w:val="00404F60"/>
    <w:rsid w:val="0040632F"/>
    <w:rsid w:val="00406CD3"/>
    <w:rsid w:val="0041137A"/>
    <w:rsid w:val="00411B81"/>
    <w:rsid w:val="00415345"/>
    <w:rsid w:val="00421676"/>
    <w:rsid w:val="00423028"/>
    <w:rsid w:val="004230FC"/>
    <w:rsid w:val="004275EA"/>
    <w:rsid w:val="0043445F"/>
    <w:rsid w:val="00437931"/>
    <w:rsid w:val="00440659"/>
    <w:rsid w:val="004414FD"/>
    <w:rsid w:val="0044446A"/>
    <w:rsid w:val="004457B8"/>
    <w:rsid w:val="00447218"/>
    <w:rsid w:val="00452CA9"/>
    <w:rsid w:val="0045430A"/>
    <w:rsid w:val="00461E1A"/>
    <w:rsid w:val="00463279"/>
    <w:rsid w:val="00463DCE"/>
    <w:rsid w:val="00466C05"/>
    <w:rsid w:val="004712FB"/>
    <w:rsid w:val="004717E7"/>
    <w:rsid w:val="00472A88"/>
    <w:rsid w:val="004749BC"/>
    <w:rsid w:val="0047773B"/>
    <w:rsid w:val="004779F5"/>
    <w:rsid w:val="00480A03"/>
    <w:rsid w:val="00482BAC"/>
    <w:rsid w:val="004846E5"/>
    <w:rsid w:val="00485041"/>
    <w:rsid w:val="00487FC1"/>
    <w:rsid w:val="004924BA"/>
    <w:rsid w:val="0049334E"/>
    <w:rsid w:val="00493E23"/>
    <w:rsid w:val="004953FC"/>
    <w:rsid w:val="004A2620"/>
    <w:rsid w:val="004A4175"/>
    <w:rsid w:val="004A4649"/>
    <w:rsid w:val="004A5173"/>
    <w:rsid w:val="004A757B"/>
    <w:rsid w:val="004B00AE"/>
    <w:rsid w:val="004B0F9D"/>
    <w:rsid w:val="004B1D72"/>
    <w:rsid w:val="004B27B3"/>
    <w:rsid w:val="004B3238"/>
    <w:rsid w:val="004B4C46"/>
    <w:rsid w:val="004B7021"/>
    <w:rsid w:val="004B7339"/>
    <w:rsid w:val="004C01C0"/>
    <w:rsid w:val="004C0A73"/>
    <w:rsid w:val="004C1C16"/>
    <w:rsid w:val="004C3F76"/>
    <w:rsid w:val="004C458B"/>
    <w:rsid w:val="004D4286"/>
    <w:rsid w:val="004D7F38"/>
    <w:rsid w:val="004E09B0"/>
    <w:rsid w:val="004E15E7"/>
    <w:rsid w:val="004E6EE6"/>
    <w:rsid w:val="004E70B9"/>
    <w:rsid w:val="004F0A9C"/>
    <w:rsid w:val="004F1D6C"/>
    <w:rsid w:val="00500E48"/>
    <w:rsid w:val="0050542E"/>
    <w:rsid w:val="00505C36"/>
    <w:rsid w:val="005067E7"/>
    <w:rsid w:val="0051038E"/>
    <w:rsid w:val="00512ED6"/>
    <w:rsid w:val="00515C8F"/>
    <w:rsid w:val="0052284D"/>
    <w:rsid w:val="0052290F"/>
    <w:rsid w:val="0052347A"/>
    <w:rsid w:val="00525FBC"/>
    <w:rsid w:val="005345DD"/>
    <w:rsid w:val="005407A6"/>
    <w:rsid w:val="00540D18"/>
    <w:rsid w:val="00540FD9"/>
    <w:rsid w:val="0054177B"/>
    <w:rsid w:val="00542974"/>
    <w:rsid w:val="00553586"/>
    <w:rsid w:val="00554520"/>
    <w:rsid w:val="00560A74"/>
    <w:rsid w:val="005610DC"/>
    <w:rsid w:val="00567E2C"/>
    <w:rsid w:val="00567F9A"/>
    <w:rsid w:val="00570E99"/>
    <w:rsid w:val="005714BF"/>
    <w:rsid w:val="0057239F"/>
    <w:rsid w:val="0058152C"/>
    <w:rsid w:val="0058260E"/>
    <w:rsid w:val="0058371E"/>
    <w:rsid w:val="005848BD"/>
    <w:rsid w:val="00587D74"/>
    <w:rsid w:val="00591F0A"/>
    <w:rsid w:val="00593A16"/>
    <w:rsid w:val="005B04BF"/>
    <w:rsid w:val="005B092A"/>
    <w:rsid w:val="005B1C4D"/>
    <w:rsid w:val="005B6716"/>
    <w:rsid w:val="005C14FA"/>
    <w:rsid w:val="005C2CEF"/>
    <w:rsid w:val="005C46DA"/>
    <w:rsid w:val="005C70E3"/>
    <w:rsid w:val="005D0F03"/>
    <w:rsid w:val="005D1BBF"/>
    <w:rsid w:val="005D1F0E"/>
    <w:rsid w:val="005D31D4"/>
    <w:rsid w:val="005E15F9"/>
    <w:rsid w:val="005E5E69"/>
    <w:rsid w:val="005E7B80"/>
    <w:rsid w:val="005F2936"/>
    <w:rsid w:val="005F2EF0"/>
    <w:rsid w:val="005F57F7"/>
    <w:rsid w:val="005F5B86"/>
    <w:rsid w:val="00600BCE"/>
    <w:rsid w:val="00603E3E"/>
    <w:rsid w:val="0061079F"/>
    <w:rsid w:val="0061178B"/>
    <w:rsid w:val="00611FD9"/>
    <w:rsid w:val="00613A39"/>
    <w:rsid w:val="00614B1B"/>
    <w:rsid w:val="00617336"/>
    <w:rsid w:val="006237E8"/>
    <w:rsid w:val="006242AC"/>
    <w:rsid w:val="00626281"/>
    <w:rsid w:val="006271B4"/>
    <w:rsid w:val="0063027D"/>
    <w:rsid w:val="006327DA"/>
    <w:rsid w:val="006333C2"/>
    <w:rsid w:val="00634545"/>
    <w:rsid w:val="006437E2"/>
    <w:rsid w:val="00646895"/>
    <w:rsid w:val="00646CA5"/>
    <w:rsid w:val="00650409"/>
    <w:rsid w:val="00651368"/>
    <w:rsid w:val="0065197A"/>
    <w:rsid w:val="00651B8C"/>
    <w:rsid w:val="006528BC"/>
    <w:rsid w:val="006554CB"/>
    <w:rsid w:val="006603EC"/>
    <w:rsid w:val="00661F88"/>
    <w:rsid w:val="00662831"/>
    <w:rsid w:val="00663A11"/>
    <w:rsid w:val="006651CD"/>
    <w:rsid w:val="00666472"/>
    <w:rsid w:val="00667E9E"/>
    <w:rsid w:val="0067643D"/>
    <w:rsid w:val="00676E77"/>
    <w:rsid w:val="006835FF"/>
    <w:rsid w:val="00683A80"/>
    <w:rsid w:val="006848E0"/>
    <w:rsid w:val="006915B1"/>
    <w:rsid w:val="00693092"/>
    <w:rsid w:val="00693A3E"/>
    <w:rsid w:val="006941D2"/>
    <w:rsid w:val="0069460F"/>
    <w:rsid w:val="00697A8D"/>
    <w:rsid w:val="006A0312"/>
    <w:rsid w:val="006A07DD"/>
    <w:rsid w:val="006A3603"/>
    <w:rsid w:val="006B1C5B"/>
    <w:rsid w:val="006B34AD"/>
    <w:rsid w:val="006B7724"/>
    <w:rsid w:val="006D03B0"/>
    <w:rsid w:val="006D24AD"/>
    <w:rsid w:val="006D6589"/>
    <w:rsid w:val="006E15FD"/>
    <w:rsid w:val="006E1EA0"/>
    <w:rsid w:val="006E6821"/>
    <w:rsid w:val="006F0841"/>
    <w:rsid w:val="006F1AED"/>
    <w:rsid w:val="006F2B33"/>
    <w:rsid w:val="006F3F24"/>
    <w:rsid w:val="006F5838"/>
    <w:rsid w:val="00701BDB"/>
    <w:rsid w:val="00704000"/>
    <w:rsid w:val="00706330"/>
    <w:rsid w:val="00711320"/>
    <w:rsid w:val="00714BE6"/>
    <w:rsid w:val="007203CF"/>
    <w:rsid w:val="007219C4"/>
    <w:rsid w:val="00723688"/>
    <w:rsid w:val="007257A1"/>
    <w:rsid w:val="0072698A"/>
    <w:rsid w:val="00730901"/>
    <w:rsid w:val="00731BDC"/>
    <w:rsid w:val="007326A4"/>
    <w:rsid w:val="00743EBF"/>
    <w:rsid w:val="00744C5D"/>
    <w:rsid w:val="00745F4D"/>
    <w:rsid w:val="00750510"/>
    <w:rsid w:val="007549B0"/>
    <w:rsid w:val="007572C7"/>
    <w:rsid w:val="00760CB4"/>
    <w:rsid w:val="00761E38"/>
    <w:rsid w:val="00763A24"/>
    <w:rsid w:val="0076407C"/>
    <w:rsid w:val="007653FB"/>
    <w:rsid w:val="0076608B"/>
    <w:rsid w:val="007673D4"/>
    <w:rsid w:val="0077003D"/>
    <w:rsid w:val="007701CB"/>
    <w:rsid w:val="0077277A"/>
    <w:rsid w:val="00773964"/>
    <w:rsid w:val="00773F9F"/>
    <w:rsid w:val="00774339"/>
    <w:rsid w:val="00775DD6"/>
    <w:rsid w:val="00775E4D"/>
    <w:rsid w:val="00776FFD"/>
    <w:rsid w:val="007803C4"/>
    <w:rsid w:val="0078220F"/>
    <w:rsid w:val="007850B6"/>
    <w:rsid w:val="00785E77"/>
    <w:rsid w:val="00787129"/>
    <w:rsid w:val="007910C7"/>
    <w:rsid w:val="00792190"/>
    <w:rsid w:val="007931E3"/>
    <w:rsid w:val="007948B0"/>
    <w:rsid w:val="00795EE5"/>
    <w:rsid w:val="007A1831"/>
    <w:rsid w:val="007A21DB"/>
    <w:rsid w:val="007A2F0E"/>
    <w:rsid w:val="007A5BD0"/>
    <w:rsid w:val="007A7758"/>
    <w:rsid w:val="007B0BB3"/>
    <w:rsid w:val="007B3C8E"/>
    <w:rsid w:val="007B7247"/>
    <w:rsid w:val="007C1535"/>
    <w:rsid w:val="007C1DA3"/>
    <w:rsid w:val="007C7629"/>
    <w:rsid w:val="007D363B"/>
    <w:rsid w:val="007D5D42"/>
    <w:rsid w:val="007E047E"/>
    <w:rsid w:val="007E0DF8"/>
    <w:rsid w:val="007E1001"/>
    <w:rsid w:val="007E3887"/>
    <w:rsid w:val="007E6863"/>
    <w:rsid w:val="007E6EEF"/>
    <w:rsid w:val="007E7E72"/>
    <w:rsid w:val="007F0A90"/>
    <w:rsid w:val="007F0BDF"/>
    <w:rsid w:val="007F12B7"/>
    <w:rsid w:val="007F1DAE"/>
    <w:rsid w:val="007F6130"/>
    <w:rsid w:val="007F7297"/>
    <w:rsid w:val="00810FF8"/>
    <w:rsid w:val="00816158"/>
    <w:rsid w:val="00817400"/>
    <w:rsid w:val="00817E8B"/>
    <w:rsid w:val="00817F41"/>
    <w:rsid w:val="00821295"/>
    <w:rsid w:val="00821700"/>
    <w:rsid w:val="008227F9"/>
    <w:rsid w:val="0082312D"/>
    <w:rsid w:val="00823685"/>
    <w:rsid w:val="008242F8"/>
    <w:rsid w:val="00836B19"/>
    <w:rsid w:val="00840E89"/>
    <w:rsid w:val="00842EC9"/>
    <w:rsid w:val="00846EA5"/>
    <w:rsid w:val="0085438C"/>
    <w:rsid w:val="008554E9"/>
    <w:rsid w:val="008563F4"/>
    <w:rsid w:val="00860703"/>
    <w:rsid w:val="00860B6C"/>
    <w:rsid w:val="00865AF1"/>
    <w:rsid w:val="00866D77"/>
    <w:rsid w:val="008701A0"/>
    <w:rsid w:val="00870273"/>
    <w:rsid w:val="008724E1"/>
    <w:rsid w:val="00872A76"/>
    <w:rsid w:val="00872C77"/>
    <w:rsid w:val="0087422D"/>
    <w:rsid w:val="00875091"/>
    <w:rsid w:val="008756DC"/>
    <w:rsid w:val="0088113F"/>
    <w:rsid w:val="00885B6D"/>
    <w:rsid w:val="008878DE"/>
    <w:rsid w:val="00891624"/>
    <w:rsid w:val="008926C5"/>
    <w:rsid w:val="00895D2E"/>
    <w:rsid w:val="008A0074"/>
    <w:rsid w:val="008A0AC2"/>
    <w:rsid w:val="008A1DE9"/>
    <w:rsid w:val="008A256D"/>
    <w:rsid w:val="008A2C35"/>
    <w:rsid w:val="008A34C7"/>
    <w:rsid w:val="008B2479"/>
    <w:rsid w:val="008C1BA1"/>
    <w:rsid w:val="008C3696"/>
    <w:rsid w:val="008C52CC"/>
    <w:rsid w:val="008D0523"/>
    <w:rsid w:val="008D1B42"/>
    <w:rsid w:val="008D2A33"/>
    <w:rsid w:val="008D755B"/>
    <w:rsid w:val="008E3C1C"/>
    <w:rsid w:val="008F081C"/>
    <w:rsid w:val="008F1A8B"/>
    <w:rsid w:val="008F2BDE"/>
    <w:rsid w:val="008F4696"/>
    <w:rsid w:val="008F5953"/>
    <w:rsid w:val="008F5D82"/>
    <w:rsid w:val="00903E9B"/>
    <w:rsid w:val="00904BFB"/>
    <w:rsid w:val="00910A4C"/>
    <w:rsid w:val="00913654"/>
    <w:rsid w:val="00914E4B"/>
    <w:rsid w:val="0092011B"/>
    <w:rsid w:val="00920FA1"/>
    <w:rsid w:val="00923A1B"/>
    <w:rsid w:val="00924EEB"/>
    <w:rsid w:val="00925C63"/>
    <w:rsid w:val="00926113"/>
    <w:rsid w:val="009373F7"/>
    <w:rsid w:val="00941EBA"/>
    <w:rsid w:val="00947290"/>
    <w:rsid w:val="00952BB9"/>
    <w:rsid w:val="0095385D"/>
    <w:rsid w:val="00954441"/>
    <w:rsid w:val="00965B3B"/>
    <w:rsid w:val="009671BC"/>
    <w:rsid w:val="00970B17"/>
    <w:rsid w:val="009737A9"/>
    <w:rsid w:val="00975A06"/>
    <w:rsid w:val="00976C3F"/>
    <w:rsid w:val="00977DD8"/>
    <w:rsid w:val="009950F6"/>
    <w:rsid w:val="0099768B"/>
    <w:rsid w:val="009A1222"/>
    <w:rsid w:val="009A21C6"/>
    <w:rsid w:val="009A2D47"/>
    <w:rsid w:val="009A401D"/>
    <w:rsid w:val="009A646D"/>
    <w:rsid w:val="009B2613"/>
    <w:rsid w:val="009B6C35"/>
    <w:rsid w:val="009C006D"/>
    <w:rsid w:val="009C3170"/>
    <w:rsid w:val="009C3DC6"/>
    <w:rsid w:val="009D09FC"/>
    <w:rsid w:val="009D1638"/>
    <w:rsid w:val="009D3431"/>
    <w:rsid w:val="009D6669"/>
    <w:rsid w:val="009E0ECC"/>
    <w:rsid w:val="009E1C19"/>
    <w:rsid w:val="009E354C"/>
    <w:rsid w:val="009E3A0C"/>
    <w:rsid w:val="009F079E"/>
    <w:rsid w:val="009F1788"/>
    <w:rsid w:val="009F1ADC"/>
    <w:rsid w:val="009F2FA1"/>
    <w:rsid w:val="009F569C"/>
    <w:rsid w:val="009F7F40"/>
    <w:rsid w:val="00A0278A"/>
    <w:rsid w:val="00A04891"/>
    <w:rsid w:val="00A0586E"/>
    <w:rsid w:val="00A06EBB"/>
    <w:rsid w:val="00A10D8F"/>
    <w:rsid w:val="00A10E9F"/>
    <w:rsid w:val="00A11153"/>
    <w:rsid w:val="00A15121"/>
    <w:rsid w:val="00A200B4"/>
    <w:rsid w:val="00A21658"/>
    <w:rsid w:val="00A2343C"/>
    <w:rsid w:val="00A255A0"/>
    <w:rsid w:val="00A330C1"/>
    <w:rsid w:val="00A34793"/>
    <w:rsid w:val="00A36F82"/>
    <w:rsid w:val="00A46145"/>
    <w:rsid w:val="00A4706B"/>
    <w:rsid w:val="00A50F24"/>
    <w:rsid w:val="00A55244"/>
    <w:rsid w:val="00A56299"/>
    <w:rsid w:val="00A566A3"/>
    <w:rsid w:val="00A60701"/>
    <w:rsid w:val="00A60FDD"/>
    <w:rsid w:val="00A61E36"/>
    <w:rsid w:val="00A629BF"/>
    <w:rsid w:val="00A70988"/>
    <w:rsid w:val="00A716D1"/>
    <w:rsid w:val="00A71A56"/>
    <w:rsid w:val="00A71F8C"/>
    <w:rsid w:val="00A828A8"/>
    <w:rsid w:val="00A90D14"/>
    <w:rsid w:val="00A90D9B"/>
    <w:rsid w:val="00A952B4"/>
    <w:rsid w:val="00A966F5"/>
    <w:rsid w:val="00AA1E9A"/>
    <w:rsid w:val="00AB158A"/>
    <w:rsid w:val="00AB726E"/>
    <w:rsid w:val="00AC0455"/>
    <w:rsid w:val="00AC2BA6"/>
    <w:rsid w:val="00AD6311"/>
    <w:rsid w:val="00AD785C"/>
    <w:rsid w:val="00AE3592"/>
    <w:rsid w:val="00AE4B80"/>
    <w:rsid w:val="00AE63D1"/>
    <w:rsid w:val="00AF0A3E"/>
    <w:rsid w:val="00AF376A"/>
    <w:rsid w:val="00AF4F00"/>
    <w:rsid w:val="00B01141"/>
    <w:rsid w:val="00B02028"/>
    <w:rsid w:val="00B02BF6"/>
    <w:rsid w:val="00B038BC"/>
    <w:rsid w:val="00B05F20"/>
    <w:rsid w:val="00B06550"/>
    <w:rsid w:val="00B06D20"/>
    <w:rsid w:val="00B10187"/>
    <w:rsid w:val="00B1072C"/>
    <w:rsid w:val="00B10C94"/>
    <w:rsid w:val="00B119E7"/>
    <w:rsid w:val="00B130B7"/>
    <w:rsid w:val="00B14494"/>
    <w:rsid w:val="00B207AC"/>
    <w:rsid w:val="00B23C04"/>
    <w:rsid w:val="00B23F7E"/>
    <w:rsid w:val="00B2404A"/>
    <w:rsid w:val="00B24CC6"/>
    <w:rsid w:val="00B26DE1"/>
    <w:rsid w:val="00B3074D"/>
    <w:rsid w:val="00B34F6F"/>
    <w:rsid w:val="00B363D1"/>
    <w:rsid w:val="00B36BB0"/>
    <w:rsid w:val="00B37A3B"/>
    <w:rsid w:val="00B45986"/>
    <w:rsid w:val="00B45B47"/>
    <w:rsid w:val="00B45D9F"/>
    <w:rsid w:val="00B50187"/>
    <w:rsid w:val="00B52462"/>
    <w:rsid w:val="00B556A2"/>
    <w:rsid w:val="00B56A8A"/>
    <w:rsid w:val="00B5702A"/>
    <w:rsid w:val="00B637DC"/>
    <w:rsid w:val="00B64481"/>
    <w:rsid w:val="00B66C25"/>
    <w:rsid w:val="00B67DB1"/>
    <w:rsid w:val="00B7101C"/>
    <w:rsid w:val="00B747B2"/>
    <w:rsid w:val="00B74E6E"/>
    <w:rsid w:val="00B83306"/>
    <w:rsid w:val="00B94EE1"/>
    <w:rsid w:val="00B962E3"/>
    <w:rsid w:val="00BA2A92"/>
    <w:rsid w:val="00BA3EFE"/>
    <w:rsid w:val="00BA6628"/>
    <w:rsid w:val="00BA721B"/>
    <w:rsid w:val="00BB0E0D"/>
    <w:rsid w:val="00BB174A"/>
    <w:rsid w:val="00BB39EC"/>
    <w:rsid w:val="00BB4676"/>
    <w:rsid w:val="00BB6170"/>
    <w:rsid w:val="00BB7D7B"/>
    <w:rsid w:val="00BC02A2"/>
    <w:rsid w:val="00BC18B9"/>
    <w:rsid w:val="00BC343F"/>
    <w:rsid w:val="00BC3C7C"/>
    <w:rsid w:val="00BC59F9"/>
    <w:rsid w:val="00BC7F1E"/>
    <w:rsid w:val="00BD5C8E"/>
    <w:rsid w:val="00BE1DB5"/>
    <w:rsid w:val="00BE2BF6"/>
    <w:rsid w:val="00BE2DEE"/>
    <w:rsid w:val="00BE3AE1"/>
    <w:rsid w:val="00BE5171"/>
    <w:rsid w:val="00BE64C1"/>
    <w:rsid w:val="00BE68CC"/>
    <w:rsid w:val="00BF1FD6"/>
    <w:rsid w:val="00BF774C"/>
    <w:rsid w:val="00C00F29"/>
    <w:rsid w:val="00C02B87"/>
    <w:rsid w:val="00C060FF"/>
    <w:rsid w:val="00C078C6"/>
    <w:rsid w:val="00C07BCF"/>
    <w:rsid w:val="00C12028"/>
    <w:rsid w:val="00C1296A"/>
    <w:rsid w:val="00C147D5"/>
    <w:rsid w:val="00C15788"/>
    <w:rsid w:val="00C16602"/>
    <w:rsid w:val="00C22494"/>
    <w:rsid w:val="00C22A4E"/>
    <w:rsid w:val="00C23747"/>
    <w:rsid w:val="00C245EC"/>
    <w:rsid w:val="00C31678"/>
    <w:rsid w:val="00C32C09"/>
    <w:rsid w:val="00C32FE3"/>
    <w:rsid w:val="00C33D4D"/>
    <w:rsid w:val="00C33DFD"/>
    <w:rsid w:val="00C34A83"/>
    <w:rsid w:val="00C35566"/>
    <w:rsid w:val="00C35B8C"/>
    <w:rsid w:val="00C36693"/>
    <w:rsid w:val="00C3736D"/>
    <w:rsid w:val="00C422E2"/>
    <w:rsid w:val="00C47224"/>
    <w:rsid w:val="00C50559"/>
    <w:rsid w:val="00C51CD1"/>
    <w:rsid w:val="00C53263"/>
    <w:rsid w:val="00C53BCC"/>
    <w:rsid w:val="00C54424"/>
    <w:rsid w:val="00C6250F"/>
    <w:rsid w:val="00C70630"/>
    <w:rsid w:val="00C74778"/>
    <w:rsid w:val="00C75B4A"/>
    <w:rsid w:val="00C81BD2"/>
    <w:rsid w:val="00C82AB7"/>
    <w:rsid w:val="00C82E8F"/>
    <w:rsid w:val="00C83A33"/>
    <w:rsid w:val="00C84C85"/>
    <w:rsid w:val="00C8726B"/>
    <w:rsid w:val="00C9063E"/>
    <w:rsid w:val="00C91822"/>
    <w:rsid w:val="00C919CD"/>
    <w:rsid w:val="00C9264E"/>
    <w:rsid w:val="00C950D4"/>
    <w:rsid w:val="00C9578B"/>
    <w:rsid w:val="00C96726"/>
    <w:rsid w:val="00C97CBE"/>
    <w:rsid w:val="00CA2B75"/>
    <w:rsid w:val="00CA3BFC"/>
    <w:rsid w:val="00CA46C9"/>
    <w:rsid w:val="00CA4F40"/>
    <w:rsid w:val="00CA5E78"/>
    <w:rsid w:val="00CB23F4"/>
    <w:rsid w:val="00CB3F5B"/>
    <w:rsid w:val="00CB4A35"/>
    <w:rsid w:val="00CB4DEC"/>
    <w:rsid w:val="00CC00B7"/>
    <w:rsid w:val="00CC2122"/>
    <w:rsid w:val="00CC23EF"/>
    <w:rsid w:val="00CC35D3"/>
    <w:rsid w:val="00CC7272"/>
    <w:rsid w:val="00CD0F22"/>
    <w:rsid w:val="00CD2752"/>
    <w:rsid w:val="00CD27EB"/>
    <w:rsid w:val="00CD436C"/>
    <w:rsid w:val="00CD5B6D"/>
    <w:rsid w:val="00CE06F0"/>
    <w:rsid w:val="00CE367D"/>
    <w:rsid w:val="00CE3A6D"/>
    <w:rsid w:val="00CF21FA"/>
    <w:rsid w:val="00CF39BC"/>
    <w:rsid w:val="00CF3BA6"/>
    <w:rsid w:val="00CF5303"/>
    <w:rsid w:val="00CF6ACD"/>
    <w:rsid w:val="00D0015F"/>
    <w:rsid w:val="00D01510"/>
    <w:rsid w:val="00D02D29"/>
    <w:rsid w:val="00D05C1D"/>
    <w:rsid w:val="00D06F24"/>
    <w:rsid w:val="00D077C0"/>
    <w:rsid w:val="00D11666"/>
    <w:rsid w:val="00D1534A"/>
    <w:rsid w:val="00D209B6"/>
    <w:rsid w:val="00D214CC"/>
    <w:rsid w:val="00D23DB0"/>
    <w:rsid w:val="00D2528E"/>
    <w:rsid w:val="00D2586C"/>
    <w:rsid w:val="00D31CFC"/>
    <w:rsid w:val="00D32CC4"/>
    <w:rsid w:val="00D33B88"/>
    <w:rsid w:val="00D40390"/>
    <w:rsid w:val="00D44892"/>
    <w:rsid w:val="00D45246"/>
    <w:rsid w:val="00D52082"/>
    <w:rsid w:val="00D55F19"/>
    <w:rsid w:val="00D56855"/>
    <w:rsid w:val="00D56B0A"/>
    <w:rsid w:val="00D56CD8"/>
    <w:rsid w:val="00D61009"/>
    <w:rsid w:val="00D617B5"/>
    <w:rsid w:val="00D62696"/>
    <w:rsid w:val="00D62F82"/>
    <w:rsid w:val="00D642FE"/>
    <w:rsid w:val="00D66E88"/>
    <w:rsid w:val="00D706B5"/>
    <w:rsid w:val="00D72681"/>
    <w:rsid w:val="00D7689D"/>
    <w:rsid w:val="00D76E65"/>
    <w:rsid w:val="00D7703A"/>
    <w:rsid w:val="00D775DA"/>
    <w:rsid w:val="00D817BC"/>
    <w:rsid w:val="00D8576B"/>
    <w:rsid w:val="00D85C7F"/>
    <w:rsid w:val="00D90701"/>
    <w:rsid w:val="00D9087E"/>
    <w:rsid w:val="00D9199F"/>
    <w:rsid w:val="00D93B09"/>
    <w:rsid w:val="00D93DD1"/>
    <w:rsid w:val="00D9520E"/>
    <w:rsid w:val="00D96D25"/>
    <w:rsid w:val="00D97322"/>
    <w:rsid w:val="00D97E26"/>
    <w:rsid w:val="00DA02F9"/>
    <w:rsid w:val="00DA1376"/>
    <w:rsid w:val="00DA1B9A"/>
    <w:rsid w:val="00DA32FD"/>
    <w:rsid w:val="00DA393B"/>
    <w:rsid w:val="00DA3F8E"/>
    <w:rsid w:val="00DA5974"/>
    <w:rsid w:val="00DA6924"/>
    <w:rsid w:val="00DB654A"/>
    <w:rsid w:val="00DB660B"/>
    <w:rsid w:val="00DC0D93"/>
    <w:rsid w:val="00DC0DAF"/>
    <w:rsid w:val="00DC15C1"/>
    <w:rsid w:val="00DC3635"/>
    <w:rsid w:val="00DC5EB4"/>
    <w:rsid w:val="00DC5F47"/>
    <w:rsid w:val="00DC6C2F"/>
    <w:rsid w:val="00DC7C78"/>
    <w:rsid w:val="00DC7EEA"/>
    <w:rsid w:val="00DD25EB"/>
    <w:rsid w:val="00DD33C4"/>
    <w:rsid w:val="00DD3C5E"/>
    <w:rsid w:val="00DE5F01"/>
    <w:rsid w:val="00DE64B7"/>
    <w:rsid w:val="00DE7453"/>
    <w:rsid w:val="00DF1CD3"/>
    <w:rsid w:val="00DF2599"/>
    <w:rsid w:val="00E018DB"/>
    <w:rsid w:val="00E02921"/>
    <w:rsid w:val="00E071DC"/>
    <w:rsid w:val="00E130DB"/>
    <w:rsid w:val="00E16232"/>
    <w:rsid w:val="00E1738D"/>
    <w:rsid w:val="00E222C7"/>
    <w:rsid w:val="00E24CCB"/>
    <w:rsid w:val="00E25737"/>
    <w:rsid w:val="00E26479"/>
    <w:rsid w:val="00E34B1D"/>
    <w:rsid w:val="00E35DAE"/>
    <w:rsid w:val="00E445D2"/>
    <w:rsid w:val="00E44721"/>
    <w:rsid w:val="00E47209"/>
    <w:rsid w:val="00E4733F"/>
    <w:rsid w:val="00E56BCB"/>
    <w:rsid w:val="00E5729E"/>
    <w:rsid w:val="00E57A3D"/>
    <w:rsid w:val="00E6043A"/>
    <w:rsid w:val="00E63EF2"/>
    <w:rsid w:val="00E66CB6"/>
    <w:rsid w:val="00E6757B"/>
    <w:rsid w:val="00E675C9"/>
    <w:rsid w:val="00E717F7"/>
    <w:rsid w:val="00E7243E"/>
    <w:rsid w:val="00E733DB"/>
    <w:rsid w:val="00E73809"/>
    <w:rsid w:val="00E76FED"/>
    <w:rsid w:val="00E84769"/>
    <w:rsid w:val="00E91E98"/>
    <w:rsid w:val="00E9209D"/>
    <w:rsid w:val="00E9323B"/>
    <w:rsid w:val="00E9336D"/>
    <w:rsid w:val="00E968CD"/>
    <w:rsid w:val="00EA1476"/>
    <w:rsid w:val="00EA1DF9"/>
    <w:rsid w:val="00EA3BCE"/>
    <w:rsid w:val="00EA4A0D"/>
    <w:rsid w:val="00EA5F1E"/>
    <w:rsid w:val="00EB1713"/>
    <w:rsid w:val="00EB4B6A"/>
    <w:rsid w:val="00EB55E6"/>
    <w:rsid w:val="00EB6555"/>
    <w:rsid w:val="00EC4522"/>
    <w:rsid w:val="00EC499D"/>
    <w:rsid w:val="00ED06FA"/>
    <w:rsid w:val="00ED0730"/>
    <w:rsid w:val="00ED119C"/>
    <w:rsid w:val="00ED5379"/>
    <w:rsid w:val="00ED58E7"/>
    <w:rsid w:val="00ED6D1E"/>
    <w:rsid w:val="00EE1352"/>
    <w:rsid w:val="00EE25E9"/>
    <w:rsid w:val="00EE32FC"/>
    <w:rsid w:val="00EF7878"/>
    <w:rsid w:val="00F01425"/>
    <w:rsid w:val="00F02180"/>
    <w:rsid w:val="00F03064"/>
    <w:rsid w:val="00F033D7"/>
    <w:rsid w:val="00F04435"/>
    <w:rsid w:val="00F17539"/>
    <w:rsid w:val="00F2009D"/>
    <w:rsid w:val="00F2104D"/>
    <w:rsid w:val="00F2160A"/>
    <w:rsid w:val="00F255AE"/>
    <w:rsid w:val="00F2672A"/>
    <w:rsid w:val="00F30BCD"/>
    <w:rsid w:val="00F31D09"/>
    <w:rsid w:val="00F34C0A"/>
    <w:rsid w:val="00F35508"/>
    <w:rsid w:val="00F36263"/>
    <w:rsid w:val="00F36C95"/>
    <w:rsid w:val="00F371EA"/>
    <w:rsid w:val="00F378C2"/>
    <w:rsid w:val="00F409CF"/>
    <w:rsid w:val="00F41479"/>
    <w:rsid w:val="00F42438"/>
    <w:rsid w:val="00F46FCB"/>
    <w:rsid w:val="00F4706E"/>
    <w:rsid w:val="00F5088E"/>
    <w:rsid w:val="00F51A6D"/>
    <w:rsid w:val="00F54936"/>
    <w:rsid w:val="00F605D6"/>
    <w:rsid w:val="00F617E5"/>
    <w:rsid w:val="00F625D3"/>
    <w:rsid w:val="00F62C9F"/>
    <w:rsid w:val="00F71890"/>
    <w:rsid w:val="00F7709C"/>
    <w:rsid w:val="00F77A2A"/>
    <w:rsid w:val="00F92E57"/>
    <w:rsid w:val="00F93481"/>
    <w:rsid w:val="00F9534B"/>
    <w:rsid w:val="00F96326"/>
    <w:rsid w:val="00F96EB8"/>
    <w:rsid w:val="00FA253A"/>
    <w:rsid w:val="00FA5727"/>
    <w:rsid w:val="00FA6564"/>
    <w:rsid w:val="00FA65B8"/>
    <w:rsid w:val="00FA7312"/>
    <w:rsid w:val="00FB0B5C"/>
    <w:rsid w:val="00FB3A14"/>
    <w:rsid w:val="00FB3F17"/>
    <w:rsid w:val="00FC087C"/>
    <w:rsid w:val="00FC0F4D"/>
    <w:rsid w:val="00FC1159"/>
    <w:rsid w:val="00FC135D"/>
    <w:rsid w:val="00FC3173"/>
    <w:rsid w:val="00FC5177"/>
    <w:rsid w:val="00FC75D1"/>
    <w:rsid w:val="00FC7871"/>
    <w:rsid w:val="00FC7B84"/>
    <w:rsid w:val="00FD0208"/>
    <w:rsid w:val="00FD0CB7"/>
    <w:rsid w:val="00FD1162"/>
    <w:rsid w:val="00FD159D"/>
    <w:rsid w:val="00FD1DA7"/>
    <w:rsid w:val="00FD611A"/>
    <w:rsid w:val="00FD7359"/>
    <w:rsid w:val="00FD7451"/>
    <w:rsid w:val="00FE05C8"/>
    <w:rsid w:val="00FE21C8"/>
    <w:rsid w:val="00FE4E98"/>
    <w:rsid w:val="00FF1BB8"/>
    <w:rsid w:val="00FF1EFA"/>
    <w:rsid w:val="00FF3BAE"/>
    <w:rsid w:val="00FF4073"/>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29E3002"/>
  <w15:docId w15:val="{02799D7D-BDD4-4AD4-BE0C-5CD4481A3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rPr>
      <w:lang w:val="es" w:eastAsia="es-ES"/>
    </w:rPr>
  </w:style>
  <w:style w:type="paragraph" w:styleId="Ttulo1">
    <w:name w:val="heading 1"/>
    <w:basedOn w:val="Normal"/>
    <w:next w:val="Normal"/>
    <w:qFormat/>
    <w:pPr>
      <w:keepNext/>
      <w:numPr>
        <w:numId w:val="1"/>
      </w:numPr>
      <w:suppressAutoHyphens w:val="0"/>
      <w:spacing w:before="240" w:after="60"/>
      <w:textAlignment w:val="auto"/>
      <w:outlineLvl w:val="0"/>
    </w:pPr>
    <w:rPr>
      <w:rFonts w:ascii="Arial" w:hAnsi="Arial"/>
      <w:b/>
      <w:bCs/>
      <w:kern w:val="3"/>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WWOutlineListStyle16">
    <w:name w:val="WW_OutlineListStyle_16"/>
    <w:basedOn w:val="Sinlista"/>
    <w:pPr>
      <w:numPr>
        <w:numId w:val="1"/>
      </w:numPr>
    </w:pPr>
  </w:style>
  <w:style w:type="paragraph" w:styleId="Encabezado">
    <w:name w:val="header"/>
    <w:basedOn w:val="Normal"/>
    <w:uiPriority w:val="99"/>
    <w:pPr>
      <w:tabs>
        <w:tab w:val="center" w:pos="4252"/>
        <w:tab w:val="right" w:pos="8504"/>
      </w:tabs>
    </w:pPr>
  </w:style>
  <w:style w:type="character" w:customStyle="1" w:styleId="EncabezadoCar">
    <w:name w:val="Encabezado Car"/>
    <w:basedOn w:val="Fuentedeprrafopredeter"/>
    <w:uiPriority w:val="99"/>
    <w:rPr>
      <w:lang w:val="es" w:eastAsia="es-ES"/>
    </w:rPr>
  </w:style>
  <w:style w:type="paragraph" w:styleId="Piedepgina">
    <w:name w:val="footer"/>
    <w:basedOn w:val="Normal"/>
    <w:pPr>
      <w:tabs>
        <w:tab w:val="center" w:pos="4252"/>
        <w:tab w:val="right" w:pos="8504"/>
      </w:tabs>
    </w:pPr>
  </w:style>
  <w:style w:type="character" w:customStyle="1" w:styleId="PiedepginaCar">
    <w:name w:val="Pie de página Car"/>
    <w:basedOn w:val="Fuentedeprrafopredeter"/>
    <w:uiPriority w:val="99"/>
    <w:rPr>
      <w:lang w:val="es" w:eastAsia="es-ES"/>
    </w:rPr>
  </w:style>
  <w:style w:type="character" w:styleId="Nmerodepgina">
    <w:name w:val="page number"/>
    <w:basedOn w:val="Fuentedeprrafopredeter"/>
  </w:style>
  <w:style w:type="paragraph" w:styleId="Prrafodelista">
    <w:name w:val="List Paragraph"/>
    <w:basedOn w:val="Normal"/>
    <w:uiPriority w:val="99"/>
    <w:qFormat/>
    <w:pPr>
      <w:ind w:left="720"/>
    </w:pPr>
    <w:rPr>
      <w:sz w:val="24"/>
      <w:szCs w:val="24"/>
      <w:lang w:val="es-ES"/>
    </w:rPr>
  </w:style>
  <w:style w:type="paragraph" w:styleId="Textodeglobo">
    <w:name w:val="Balloon Text"/>
    <w:basedOn w:val="Normal"/>
    <w:rPr>
      <w:rFonts w:ascii="Tahoma" w:hAnsi="Tahoma" w:cs="Tahoma"/>
      <w:sz w:val="16"/>
      <w:szCs w:val="16"/>
    </w:rPr>
  </w:style>
  <w:style w:type="character" w:customStyle="1" w:styleId="TextodegloboCar">
    <w:name w:val="Texto de globo Car"/>
    <w:basedOn w:val="Fuentedeprrafopredeter"/>
    <w:rPr>
      <w:rFonts w:ascii="Tahoma" w:hAnsi="Tahoma" w:cs="Tahoma"/>
      <w:sz w:val="16"/>
      <w:szCs w:val="16"/>
      <w:lang w:val="es" w:eastAsia="es-ES"/>
    </w:rPr>
  </w:style>
  <w:style w:type="character" w:customStyle="1" w:styleId="Ttulo1Car">
    <w:name w:val="Título 1 Car"/>
    <w:basedOn w:val="Fuentedeprrafopredeter"/>
    <w:rPr>
      <w:rFonts w:ascii="Arial" w:hAnsi="Arial"/>
      <w:b/>
      <w:bCs/>
      <w:kern w:val="3"/>
      <w:sz w:val="32"/>
      <w:szCs w:val="32"/>
      <w:lang w:eastAsia="es-ES"/>
    </w:rPr>
  </w:style>
  <w:style w:type="numbering" w:customStyle="1" w:styleId="WWOutlineListStyle15">
    <w:name w:val="WW_OutlineListStyle_15"/>
    <w:basedOn w:val="Sinlista"/>
    <w:pPr>
      <w:numPr>
        <w:numId w:val="2"/>
      </w:numPr>
    </w:pPr>
  </w:style>
  <w:style w:type="numbering" w:customStyle="1" w:styleId="WWOutlineListStyle14">
    <w:name w:val="WW_OutlineListStyle_14"/>
    <w:basedOn w:val="Sinlista"/>
    <w:pPr>
      <w:numPr>
        <w:numId w:val="3"/>
      </w:numPr>
    </w:pPr>
  </w:style>
  <w:style w:type="numbering" w:customStyle="1" w:styleId="WWOutlineListStyle13">
    <w:name w:val="WW_OutlineListStyle_13"/>
    <w:basedOn w:val="Sinlista"/>
    <w:pPr>
      <w:numPr>
        <w:numId w:val="4"/>
      </w:numPr>
    </w:pPr>
  </w:style>
  <w:style w:type="numbering" w:customStyle="1" w:styleId="WWOutlineListStyle12">
    <w:name w:val="WW_OutlineListStyle_12"/>
    <w:basedOn w:val="Sinlista"/>
    <w:pPr>
      <w:numPr>
        <w:numId w:val="5"/>
      </w:numPr>
    </w:pPr>
  </w:style>
  <w:style w:type="numbering" w:customStyle="1" w:styleId="WWOutlineListStyle11">
    <w:name w:val="WW_OutlineListStyle_11"/>
    <w:basedOn w:val="Sinlista"/>
    <w:pPr>
      <w:numPr>
        <w:numId w:val="6"/>
      </w:numPr>
    </w:pPr>
  </w:style>
  <w:style w:type="numbering" w:customStyle="1" w:styleId="WWOutlineListStyle10">
    <w:name w:val="WW_OutlineListStyle_10"/>
    <w:basedOn w:val="Sinlista"/>
    <w:pPr>
      <w:numPr>
        <w:numId w:val="7"/>
      </w:numPr>
    </w:pPr>
  </w:style>
  <w:style w:type="numbering" w:customStyle="1" w:styleId="WWOutlineListStyle9">
    <w:name w:val="WW_OutlineListStyle_9"/>
    <w:basedOn w:val="Sinlista"/>
    <w:pPr>
      <w:numPr>
        <w:numId w:val="8"/>
      </w:numPr>
    </w:pPr>
  </w:style>
  <w:style w:type="numbering" w:customStyle="1" w:styleId="WWOutlineListStyle8">
    <w:name w:val="WW_OutlineListStyle_8"/>
    <w:basedOn w:val="Sinlista"/>
    <w:pPr>
      <w:numPr>
        <w:numId w:val="9"/>
      </w:numPr>
    </w:pPr>
  </w:style>
  <w:style w:type="numbering" w:customStyle="1" w:styleId="WWOutlineListStyle7">
    <w:name w:val="WW_OutlineListStyle_7"/>
    <w:basedOn w:val="Sinlista"/>
    <w:pPr>
      <w:numPr>
        <w:numId w:val="10"/>
      </w:numPr>
    </w:pPr>
  </w:style>
  <w:style w:type="numbering" w:customStyle="1" w:styleId="WWOutlineListStyle6">
    <w:name w:val="WW_OutlineListStyle_6"/>
    <w:basedOn w:val="Sinlista"/>
    <w:pPr>
      <w:numPr>
        <w:numId w:val="11"/>
      </w:numPr>
    </w:pPr>
  </w:style>
  <w:style w:type="numbering" w:customStyle="1" w:styleId="WWOutlineListStyle5">
    <w:name w:val="WW_OutlineListStyle_5"/>
    <w:basedOn w:val="Sinlista"/>
    <w:pPr>
      <w:numPr>
        <w:numId w:val="12"/>
      </w:numPr>
    </w:pPr>
  </w:style>
  <w:style w:type="numbering" w:customStyle="1" w:styleId="WWOutlineListStyle4">
    <w:name w:val="WW_OutlineListStyle_4"/>
    <w:basedOn w:val="Sinlista"/>
    <w:pPr>
      <w:numPr>
        <w:numId w:val="13"/>
      </w:numPr>
    </w:pPr>
  </w:style>
  <w:style w:type="numbering" w:customStyle="1" w:styleId="WWOutlineListStyle3">
    <w:name w:val="WW_OutlineListStyle_3"/>
    <w:basedOn w:val="Sinlista"/>
    <w:pPr>
      <w:numPr>
        <w:numId w:val="14"/>
      </w:numPr>
    </w:pPr>
  </w:style>
  <w:style w:type="numbering" w:customStyle="1" w:styleId="WWOutlineListStyle2">
    <w:name w:val="WW_OutlineListStyle_2"/>
    <w:basedOn w:val="Sinlista"/>
    <w:pPr>
      <w:numPr>
        <w:numId w:val="15"/>
      </w:numPr>
    </w:pPr>
  </w:style>
  <w:style w:type="numbering" w:customStyle="1" w:styleId="WWOutlineListStyle1">
    <w:name w:val="WW_OutlineListStyle_1"/>
    <w:basedOn w:val="Sinlista"/>
    <w:pPr>
      <w:numPr>
        <w:numId w:val="16"/>
      </w:numPr>
    </w:pPr>
  </w:style>
  <w:style w:type="numbering" w:customStyle="1" w:styleId="WWOutlineListStyle">
    <w:name w:val="WW_OutlineListStyle"/>
    <w:basedOn w:val="Sinlista"/>
    <w:pPr>
      <w:numPr>
        <w:numId w:val="17"/>
      </w:numPr>
    </w:pPr>
  </w:style>
  <w:style w:type="character" w:styleId="Refdecomentario">
    <w:name w:val="annotation reference"/>
    <w:basedOn w:val="Fuentedeprrafopredeter"/>
    <w:uiPriority w:val="99"/>
    <w:semiHidden/>
    <w:unhideWhenUsed/>
    <w:rsid w:val="00DD25EB"/>
    <w:rPr>
      <w:sz w:val="16"/>
      <w:szCs w:val="16"/>
    </w:rPr>
  </w:style>
  <w:style w:type="paragraph" w:styleId="Textocomentario">
    <w:name w:val="annotation text"/>
    <w:basedOn w:val="Normal"/>
    <w:link w:val="TextocomentarioCar"/>
    <w:uiPriority w:val="99"/>
    <w:unhideWhenUsed/>
    <w:rsid w:val="00DD25EB"/>
  </w:style>
  <w:style w:type="character" w:customStyle="1" w:styleId="TextocomentarioCar">
    <w:name w:val="Texto comentario Car"/>
    <w:basedOn w:val="Fuentedeprrafopredeter"/>
    <w:link w:val="Textocomentario"/>
    <w:uiPriority w:val="99"/>
    <w:rsid w:val="00DD25EB"/>
    <w:rPr>
      <w:lang w:eastAsia="es-ES"/>
    </w:rPr>
  </w:style>
  <w:style w:type="paragraph" w:styleId="Asuntodelcomentario">
    <w:name w:val="annotation subject"/>
    <w:basedOn w:val="Textocomentario"/>
    <w:next w:val="Textocomentario"/>
    <w:link w:val="AsuntodelcomentarioCar"/>
    <w:semiHidden/>
    <w:unhideWhenUsed/>
    <w:rsid w:val="00DD25EB"/>
    <w:rPr>
      <w:b/>
      <w:bCs/>
    </w:rPr>
  </w:style>
  <w:style w:type="character" w:customStyle="1" w:styleId="AsuntodelcomentarioCar">
    <w:name w:val="Asunto del comentario Car"/>
    <w:basedOn w:val="TextocomentarioCar"/>
    <w:link w:val="Asuntodelcomentario"/>
    <w:semiHidden/>
    <w:rsid w:val="00DD25EB"/>
    <w:rPr>
      <w:b/>
      <w:bCs/>
      <w:lang w:eastAsia="es-ES"/>
    </w:rPr>
  </w:style>
  <w:style w:type="paragraph" w:styleId="Revisin">
    <w:name w:val="Revision"/>
    <w:hidden/>
    <w:uiPriority w:val="99"/>
    <w:semiHidden/>
    <w:rsid w:val="00CC00B7"/>
    <w:pPr>
      <w:autoSpaceDN/>
      <w:textAlignment w:val="auto"/>
    </w:pPr>
    <w:rPr>
      <w:lang w:eastAsia="es-ES"/>
    </w:rPr>
  </w:style>
  <w:style w:type="paragraph" w:customStyle="1" w:styleId="Titulo">
    <w:name w:val="Titulo"/>
    <w:basedOn w:val="Normal"/>
    <w:rsid w:val="00C1296A"/>
    <w:pPr>
      <w:numPr>
        <w:ilvl w:val="1"/>
        <w:numId w:val="18"/>
      </w:numPr>
      <w:suppressAutoHyphens w:val="0"/>
      <w:autoSpaceDN/>
      <w:textAlignment w:val="auto"/>
    </w:pPr>
    <w:rPr>
      <w:rFonts w:ascii="Arial" w:eastAsia="Calibri" w:hAnsi="Arial"/>
      <w:sz w:val="24"/>
      <w:szCs w:val="24"/>
      <w:lang w:val="es-ES"/>
    </w:rPr>
  </w:style>
  <w:style w:type="paragraph" w:styleId="Textonotapie">
    <w:name w:val="footnote text"/>
    <w:basedOn w:val="Normal"/>
    <w:link w:val="TextonotapieCar"/>
    <w:semiHidden/>
    <w:rsid w:val="00050AA3"/>
    <w:pPr>
      <w:suppressAutoHyphens w:val="0"/>
      <w:autoSpaceDN/>
      <w:textAlignment w:val="auto"/>
    </w:pPr>
    <w:rPr>
      <w:lang w:val="es-ES_tradnl"/>
    </w:rPr>
  </w:style>
  <w:style w:type="character" w:customStyle="1" w:styleId="TextonotapieCar">
    <w:name w:val="Texto nota pie Car"/>
    <w:basedOn w:val="Fuentedeprrafopredeter"/>
    <w:link w:val="Textonotapie"/>
    <w:semiHidden/>
    <w:rsid w:val="00050AA3"/>
    <w:rPr>
      <w:lang w:val="es-ES_tradnl" w:eastAsia="es-ES"/>
    </w:rPr>
  </w:style>
  <w:style w:type="character" w:styleId="Refdenotaalpie">
    <w:name w:val="footnote reference"/>
    <w:semiHidden/>
    <w:rsid w:val="00050AA3"/>
    <w:rPr>
      <w:vertAlign w:val="superscript"/>
    </w:rPr>
  </w:style>
  <w:style w:type="paragraph" w:styleId="Textoindependiente">
    <w:name w:val="Body Text"/>
    <w:basedOn w:val="Normal"/>
    <w:link w:val="TextoindependienteCar"/>
    <w:rsid w:val="00050AA3"/>
    <w:pPr>
      <w:suppressAutoHyphens w:val="0"/>
      <w:autoSpaceDN/>
      <w:spacing w:before="100" w:beforeAutospacing="1" w:after="100" w:afterAutospacing="1"/>
      <w:textAlignment w:val="auto"/>
    </w:pPr>
    <w:rPr>
      <w:rFonts w:eastAsia="Arial Unicode MS"/>
      <w:sz w:val="24"/>
      <w:szCs w:val="24"/>
      <w:lang w:val="es-ES"/>
    </w:rPr>
  </w:style>
  <w:style w:type="character" w:customStyle="1" w:styleId="TextoindependienteCar">
    <w:name w:val="Texto independiente Car"/>
    <w:basedOn w:val="Fuentedeprrafopredeter"/>
    <w:link w:val="Textoindependiente"/>
    <w:rsid w:val="00050AA3"/>
    <w:rPr>
      <w:rFonts w:eastAsia="Arial Unicode MS"/>
      <w:sz w:val="24"/>
      <w:szCs w:val="24"/>
      <w:lang w:val="es-ES" w:eastAsia="es-ES"/>
    </w:rPr>
  </w:style>
  <w:style w:type="table" w:styleId="Tablaconcuadrcula">
    <w:name w:val="Table Grid"/>
    <w:basedOn w:val="Tablanormal"/>
    <w:rsid w:val="00050AA3"/>
    <w:pPr>
      <w:autoSpaceDN/>
      <w:textAlignment w:val="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rsid w:val="00050AA3"/>
    <w:rPr>
      <w:color w:val="0000FF"/>
      <w:u w:val="single"/>
    </w:rPr>
  </w:style>
  <w:style w:type="paragraph" w:styleId="Textoindependiente3">
    <w:name w:val="Body Text 3"/>
    <w:basedOn w:val="Normal"/>
    <w:link w:val="Textoindependiente3Car"/>
    <w:rsid w:val="00050AA3"/>
    <w:pPr>
      <w:suppressAutoHyphens w:val="0"/>
      <w:autoSpaceDN/>
      <w:spacing w:after="120"/>
      <w:textAlignment w:val="auto"/>
    </w:pPr>
    <w:rPr>
      <w:sz w:val="16"/>
      <w:szCs w:val="16"/>
      <w:lang w:val="es-ES"/>
    </w:rPr>
  </w:style>
  <w:style w:type="character" w:customStyle="1" w:styleId="Textoindependiente3Car">
    <w:name w:val="Texto independiente 3 Car"/>
    <w:basedOn w:val="Fuentedeprrafopredeter"/>
    <w:link w:val="Textoindependiente3"/>
    <w:rsid w:val="00050AA3"/>
    <w:rPr>
      <w:sz w:val="16"/>
      <w:szCs w:val="16"/>
      <w:lang w:val="es-ES" w:eastAsia="es-ES"/>
    </w:rPr>
  </w:style>
  <w:style w:type="paragraph" w:styleId="Mapadeldocumento">
    <w:name w:val="Document Map"/>
    <w:basedOn w:val="Normal"/>
    <w:link w:val="MapadeldocumentoCar"/>
    <w:semiHidden/>
    <w:rsid w:val="00050AA3"/>
    <w:pPr>
      <w:shd w:val="clear" w:color="auto" w:fill="000080"/>
      <w:suppressAutoHyphens w:val="0"/>
      <w:autoSpaceDN/>
      <w:textAlignment w:val="auto"/>
    </w:pPr>
    <w:rPr>
      <w:rFonts w:ascii="Tahoma" w:hAnsi="Tahoma" w:cs="Tahoma"/>
      <w:lang w:val="es-ES"/>
    </w:rPr>
  </w:style>
  <w:style w:type="character" w:customStyle="1" w:styleId="MapadeldocumentoCar">
    <w:name w:val="Mapa del documento Car"/>
    <w:basedOn w:val="Fuentedeprrafopredeter"/>
    <w:link w:val="Mapadeldocumento"/>
    <w:semiHidden/>
    <w:rsid w:val="00050AA3"/>
    <w:rPr>
      <w:rFonts w:ascii="Tahoma" w:hAnsi="Tahoma" w:cs="Tahoma"/>
      <w:shd w:val="clear" w:color="auto" w:fill="000080"/>
      <w:lang w:val="es-ES" w:eastAsia="es-ES"/>
    </w:rPr>
  </w:style>
  <w:style w:type="paragraph" w:styleId="NormalWeb">
    <w:name w:val="Normal (Web)"/>
    <w:basedOn w:val="Normal"/>
    <w:rsid w:val="00050AA3"/>
    <w:pPr>
      <w:suppressAutoHyphens w:val="0"/>
      <w:autoSpaceDN/>
      <w:spacing w:before="150" w:after="150"/>
      <w:ind w:left="675" w:right="525"/>
      <w:textAlignment w:val="auto"/>
    </w:pPr>
    <w:rPr>
      <w:sz w:val="19"/>
      <w:szCs w:val="19"/>
      <w:lang w:val="es-ES"/>
    </w:rPr>
  </w:style>
  <w:style w:type="paragraph" w:styleId="Textoindependiente2">
    <w:name w:val="Body Text 2"/>
    <w:basedOn w:val="Normal"/>
    <w:link w:val="Textoindependiente2Car"/>
    <w:rsid w:val="00050AA3"/>
    <w:pPr>
      <w:suppressAutoHyphens w:val="0"/>
      <w:autoSpaceDN/>
      <w:spacing w:after="120" w:line="480" w:lineRule="auto"/>
      <w:textAlignment w:val="auto"/>
    </w:pPr>
    <w:rPr>
      <w:sz w:val="24"/>
      <w:szCs w:val="24"/>
      <w:lang w:val="es-ES"/>
    </w:rPr>
  </w:style>
  <w:style w:type="character" w:customStyle="1" w:styleId="Textoindependiente2Car">
    <w:name w:val="Texto independiente 2 Car"/>
    <w:basedOn w:val="Fuentedeprrafopredeter"/>
    <w:link w:val="Textoindependiente2"/>
    <w:rsid w:val="00050AA3"/>
    <w:rPr>
      <w:sz w:val="24"/>
      <w:szCs w:val="24"/>
      <w:lang w:val="es-ES" w:eastAsia="es-ES"/>
    </w:rPr>
  </w:style>
  <w:style w:type="character" w:styleId="Hipervnculovisitado">
    <w:name w:val="FollowedHyperlink"/>
    <w:rsid w:val="00050AA3"/>
    <w:rPr>
      <w:color w:val="800080"/>
      <w:u w:val="single"/>
    </w:rPr>
  </w:style>
  <w:style w:type="paragraph" w:customStyle="1" w:styleId="Listavistosa-nfasis11">
    <w:name w:val="Lista vistosa - Énfasis 11"/>
    <w:basedOn w:val="Normal"/>
    <w:uiPriority w:val="99"/>
    <w:qFormat/>
    <w:rsid w:val="00050AA3"/>
    <w:pPr>
      <w:suppressAutoHyphens w:val="0"/>
      <w:autoSpaceDN/>
      <w:ind w:left="720"/>
      <w:contextualSpacing/>
      <w:textAlignment w:val="auto"/>
    </w:pPr>
    <w:rPr>
      <w:sz w:val="24"/>
      <w:szCs w:val="24"/>
      <w:lang w:val="es-ES"/>
    </w:rPr>
  </w:style>
  <w:style w:type="character" w:customStyle="1" w:styleId="DeltaViewInsertion">
    <w:name w:val="DeltaView Insertion"/>
    <w:uiPriority w:val="99"/>
    <w:rsid w:val="00050AA3"/>
    <w:rPr>
      <w:color w:val="0000FF"/>
      <w:u w:val="double"/>
    </w:rPr>
  </w:style>
  <w:style w:type="character" w:customStyle="1" w:styleId="DeltaViewDeletion">
    <w:name w:val="DeltaView Deletion"/>
    <w:uiPriority w:val="99"/>
    <w:rsid w:val="00050AA3"/>
    <w:rPr>
      <w:strike/>
      <w:color w:val="FF0000"/>
    </w:rPr>
  </w:style>
  <w:style w:type="character" w:customStyle="1" w:styleId="DeltaViewMoveSource">
    <w:name w:val="DeltaView Move Source"/>
    <w:uiPriority w:val="99"/>
    <w:rsid w:val="00050AA3"/>
    <w:rPr>
      <w:strike/>
      <w:color w:val="00C000"/>
    </w:rPr>
  </w:style>
  <w:style w:type="character" w:customStyle="1" w:styleId="DeltaViewMoveDestination">
    <w:name w:val="DeltaView Move Destination"/>
    <w:uiPriority w:val="99"/>
    <w:rsid w:val="00050AA3"/>
    <w:rPr>
      <w:color w:val="00C000"/>
      <w:u w:val="double"/>
    </w:rPr>
  </w:style>
  <w:style w:type="paragraph" w:customStyle="1" w:styleId="Default">
    <w:name w:val="Default"/>
    <w:rsid w:val="00050AA3"/>
    <w:pPr>
      <w:autoSpaceDE w:val="0"/>
      <w:adjustRightInd w:val="0"/>
      <w:textAlignment w:val="auto"/>
    </w:pPr>
    <w:rPr>
      <w:rFonts w:ascii="Arial" w:eastAsiaTheme="minorHAnsi" w:hAnsi="Arial" w:cs="Arial"/>
      <w:color w:val="000000"/>
      <w:sz w:val="24"/>
      <w:szCs w:val="24"/>
      <w:lang w:eastAsia="en-US"/>
    </w:rPr>
  </w:style>
  <w:style w:type="character" w:styleId="nfasis">
    <w:name w:val="Emphasis"/>
    <w:basedOn w:val="Fuentedeprrafopredeter"/>
    <w:rsid w:val="000B0C04"/>
    <w:rPr>
      <w:i/>
      <w:iCs/>
    </w:rPr>
  </w:style>
  <w:style w:type="paragraph" w:styleId="Textonotaalfinal">
    <w:name w:val="endnote text"/>
    <w:basedOn w:val="Normal"/>
    <w:link w:val="TextonotaalfinalCar"/>
    <w:uiPriority w:val="99"/>
    <w:unhideWhenUsed/>
    <w:rsid w:val="00B130B7"/>
  </w:style>
  <w:style w:type="character" w:customStyle="1" w:styleId="TextonotaalfinalCar">
    <w:name w:val="Texto nota al final Car"/>
    <w:basedOn w:val="Fuentedeprrafopredeter"/>
    <w:link w:val="Textonotaalfinal"/>
    <w:uiPriority w:val="99"/>
    <w:rsid w:val="0069460F"/>
    <w:rPr>
      <w:lang w:val="es" w:eastAsia="es-ES"/>
    </w:rPr>
  </w:style>
  <w:style w:type="character" w:styleId="Refdenotaalfinal">
    <w:name w:val="endnote reference"/>
    <w:basedOn w:val="Fuentedeprrafopredeter"/>
    <w:uiPriority w:val="99"/>
    <w:unhideWhenUsed/>
    <w:rsid w:val="00B130B7"/>
    <w:rPr>
      <w:vertAlign w:val="superscript"/>
    </w:rPr>
  </w:style>
  <w:style w:type="paragraph" w:styleId="Textosinformato">
    <w:name w:val="Plain Text"/>
    <w:basedOn w:val="Normal"/>
    <w:link w:val="TextosinformatoCar"/>
    <w:uiPriority w:val="99"/>
    <w:unhideWhenUsed/>
    <w:rsid w:val="00BC343F"/>
    <w:pPr>
      <w:suppressAutoHyphens w:val="0"/>
      <w:autoSpaceDN/>
      <w:textAlignment w:val="auto"/>
    </w:pPr>
    <w:rPr>
      <w:rFonts w:ascii="Calibri" w:eastAsiaTheme="minorHAnsi" w:hAnsi="Calibri"/>
      <w:sz w:val="22"/>
      <w:szCs w:val="22"/>
      <w:lang w:val="es-ES" w:eastAsia="en-US"/>
    </w:rPr>
  </w:style>
  <w:style w:type="character" w:customStyle="1" w:styleId="TextosinformatoCar">
    <w:name w:val="Texto sin formato Car"/>
    <w:basedOn w:val="Fuentedeprrafopredeter"/>
    <w:link w:val="Textosinformato"/>
    <w:uiPriority w:val="99"/>
    <w:rsid w:val="00BC343F"/>
    <w:rPr>
      <w:rFonts w:ascii="Calibri" w:eastAsiaTheme="minorHAnsi" w:hAnsi="Calibri"/>
      <w:sz w:val="22"/>
      <w:szCs w:val="22"/>
      <w:lang w:val="es-ES" w:eastAsia="en-US"/>
    </w:rPr>
  </w:style>
  <w:style w:type="numbering" w:customStyle="1" w:styleId="Estilo1">
    <w:name w:val="Estilo1"/>
    <w:uiPriority w:val="99"/>
    <w:rsid w:val="007E1001"/>
    <w:pPr>
      <w:numPr>
        <w:numId w:val="19"/>
      </w:numPr>
    </w:pPr>
  </w:style>
  <w:style w:type="numbering" w:customStyle="1" w:styleId="Estilo2">
    <w:name w:val="Estilo2"/>
    <w:uiPriority w:val="99"/>
    <w:rsid w:val="007E1001"/>
    <w:pPr>
      <w:numPr>
        <w:numId w:val="20"/>
      </w:numPr>
    </w:pPr>
  </w:style>
  <w:style w:type="numbering" w:customStyle="1" w:styleId="Estilo3">
    <w:name w:val="Estilo3"/>
    <w:uiPriority w:val="99"/>
    <w:rsid w:val="007E1001"/>
    <w:pPr>
      <w:numPr>
        <w:numId w:val="21"/>
      </w:numPr>
    </w:pPr>
  </w:style>
  <w:style w:type="numbering" w:customStyle="1" w:styleId="Estilo4">
    <w:name w:val="Estilo4"/>
    <w:uiPriority w:val="99"/>
    <w:rsid w:val="007E1001"/>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172914">
      <w:bodyDiv w:val="1"/>
      <w:marLeft w:val="0"/>
      <w:marRight w:val="0"/>
      <w:marTop w:val="0"/>
      <w:marBottom w:val="0"/>
      <w:divBdr>
        <w:top w:val="none" w:sz="0" w:space="0" w:color="auto"/>
        <w:left w:val="none" w:sz="0" w:space="0" w:color="auto"/>
        <w:bottom w:val="none" w:sz="0" w:space="0" w:color="auto"/>
        <w:right w:val="none" w:sz="0" w:space="0" w:color="auto"/>
      </w:divBdr>
    </w:div>
    <w:div w:id="1294675070">
      <w:bodyDiv w:val="1"/>
      <w:marLeft w:val="0"/>
      <w:marRight w:val="0"/>
      <w:marTop w:val="0"/>
      <w:marBottom w:val="0"/>
      <w:divBdr>
        <w:top w:val="none" w:sz="0" w:space="0" w:color="auto"/>
        <w:left w:val="none" w:sz="0" w:space="0" w:color="auto"/>
        <w:bottom w:val="none" w:sz="0" w:space="0" w:color="auto"/>
        <w:right w:val="none" w:sz="0" w:space="0" w:color="auto"/>
      </w:divBdr>
    </w:div>
    <w:div w:id="1535340816">
      <w:bodyDiv w:val="1"/>
      <w:marLeft w:val="0"/>
      <w:marRight w:val="0"/>
      <w:marTop w:val="0"/>
      <w:marBottom w:val="0"/>
      <w:divBdr>
        <w:top w:val="none" w:sz="0" w:space="0" w:color="auto"/>
        <w:left w:val="none" w:sz="0" w:space="0" w:color="auto"/>
        <w:bottom w:val="none" w:sz="0" w:space="0" w:color="auto"/>
        <w:right w:val="none" w:sz="0" w:space="0" w:color="auto"/>
      </w:divBdr>
    </w:div>
    <w:div w:id="1750422705">
      <w:bodyDiv w:val="1"/>
      <w:marLeft w:val="0"/>
      <w:marRight w:val="0"/>
      <w:marTop w:val="0"/>
      <w:marBottom w:val="0"/>
      <w:divBdr>
        <w:top w:val="none" w:sz="0" w:space="0" w:color="auto"/>
        <w:left w:val="none" w:sz="0" w:space="0" w:color="auto"/>
        <w:bottom w:val="none" w:sz="0" w:space="0" w:color="auto"/>
        <w:right w:val="none" w:sz="0" w:space="0" w:color="auto"/>
      </w:divBdr>
    </w:div>
    <w:div w:id="20571946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61AF53285FDC489C1A9CAA2AD2F647" ma:contentTypeVersion="2" ma:contentTypeDescription="Create a new document." ma:contentTypeScope="" ma:versionID="8070e39133df788103ba2e2d2ea411a5">
  <xsd:schema xmlns:xsd="http://www.w3.org/2001/XMLSchema" xmlns:xs="http://www.w3.org/2001/XMLSchema" xmlns:p="http://schemas.microsoft.com/office/2006/metadata/properties" xmlns:ns2="58b13d42-95b7-42e5-b897-7506773006ee" targetNamespace="http://schemas.microsoft.com/office/2006/metadata/properties" ma:root="true" ma:fieldsID="098327bc114ad6e8814c438d69892d37" ns2:_="">
    <xsd:import namespace="58b13d42-95b7-42e5-b897-7506773006e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b13d42-95b7-42e5-b897-7506773006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61F72-76CF-4477-957B-60DD16631E0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EC9CF6-282D-4057-9051-63CABFB4E2F3}">
  <ds:schemaRefs>
    <ds:schemaRef ds:uri="http://schemas.microsoft.com/sharepoint/v3/contenttype/forms"/>
  </ds:schemaRefs>
</ds:datastoreItem>
</file>

<file path=customXml/itemProps3.xml><?xml version="1.0" encoding="utf-8"?>
<ds:datastoreItem xmlns:ds="http://schemas.openxmlformats.org/officeDocument/2006/customXml" ds:itemID="{88617308-CE7A-4594-A65F-987C75FF54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b13d42-95b7-42e5-b897-7506773006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AB37BC-4CEE-4F4E-8058-FA5A61277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841</Words>
  <Characters>4628</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Sebastian Canon Rubiano</dc:creator>
  <cp:lastModifiedBy>Gabriel Armando Ospina Garcia</cp:lastModifiedBy>
  <cp:revision>4</cp:revision>
  <cp:lastPrinted>2014-09-15T17:25:00Z</cp:lastPrinted>
  <dcterms:created xsi:type="dcterms:W3CDTF">2022-05-19T19:16:00Z</dcterms:created>
  <dcterms:modified xsi:type="dcterms:W3CDTF">2022-05-21T00:07:00Z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0x0101003D61AF53285FDC489C1A9CAA2AD2F647</vt:lpwstr>
  </property>
</Properties>
</file>