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20E5" w14:textId="77777777" w:rsidR="0028373B" w:rsidRDefault="0028373B"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2FCB9E00"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1.3.6.1.2.7.1.2. Un resumen sobre el desempeño económico reciente, destacando al menos la estructura y evolución del producto interno bruto, el comercio exterior y la balanza de pagos, el endeudamiento externo, las finanzas públicas y los documentos de contenido crediticio que tenga en circulación, especificando plazo, condiciones, calificación de los títulos y estado actual de cumplimiento.</w:t>
      </w:r>
    </w:p>
    <w:p w14:paraId="3179314E"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116545DF"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1.3.6.1.2.7.2. Las siguientes cláusulas de salvaguardia:</w:t>
      </w:r>
    </w:p>
    <w:p w14:paraId="753628E4"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39CBAB77"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1.3.6.1.2.7.2.1. Por la cual se renuncia de manera irrevocable a la inmunidad soberana con respecto a cualquier acción, pleito, procedimientos o notificaciones que surjan de la colocación de los valores, cuando la jurisdicción convenida sea diferente a la del emisor.</w:t>
      </w:r>
    </w:p>
    <w:p w14:paraId="557DB8CA"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5326FEF0" w14:textId="77777777" w:rsidR="00B52686" w:rsidRPr="000676C8" w:rsidRDefault="00B52686" w:rsidP="00B52686">
      <w:pPr>
        <w:widowControl w:val="0"/>
        <w:tabs>
          <w:tab w:val="left" w:pos="-720"/>
          <w:tab w:val="left" w:pos="0"/>
          <w:tab w:val="left" w:pos="3600"/>
        </w:tabs>
        <w:autoSpaceDE w:val="0"/>
        <w:autoSpaceDN w:val="0"/>
        <w:adjustRightInd w:val="0"/>
        <w:spacing w:after="0" w:line="240" w:lineRule="auto"/>
        <w:ind w:right="142"/>
        <w:jc w:val="both"/>
        <w:rPr>
          <w:rFonts w:ascii="Arial" w:hAnsi="Arial" w:cs="Arial"/>
          <w:spacing w:val="-3"/>
          <w:kern w:val="1"/>
          <w:sz w:val="16"/>
          <w:szCs w:val="16"/>
          <w:lang w:val="es-ES_tradnl"/>
        </w:rPr>
      </w:pPr>
      <w:r w:rsidRPr="000676C8">
        <w:rPr>
          <w:rFonts w:ascii="Arial" w:hAnsi="Arial" w:cs="Arial"/>
          <w:spacing w:val="-3"/>
          <w:kern w:val="1"/>
          <w:sz w:val="16"/>
          <w:szCs w:val="16"/>
          <w:lang w:val="es-ES_tradnl"/>
        </w:rPr>
        <w:t xml:space="preserve">1.3.6.1.2.7.2.2. Aquella por la cual los derechos del tenedor y las obligaciones del emisor se </w:t>
      </w:r>
      <w:proofErr w:type="gramStart"/>
      <w:r w:rsidRPr="000676C8">
        <w:rPr>
          <w:rFonts w:ascii="Arial" w:hAnsi="Arial" w:cs="Arial"/>
          <w:spacing w:val="-3"/>
          <w:kern w:val="1"/>
          <w:sz w:val="16"/>
          <w:szCs w:val="16"/>
          <w:lang w:val="es-ES_tradnl"/>
        </w:rPr>
        <w:t>equiparan</w:t>
      </w:r>
      <w:proofErr w:type="gramEnd"/>
      <w:r w:rsidRPr="000676C8">
        <w:rPr>
          <w:rFonts w:ascii="Arial" w:hAnsi="Arial" w:cs="Arial"/>
          <w:spacing w:val="-3"/>
          <w:kern w:val="1"/>
          <w:sz w:val="16"/>
          <w:szCs w:val="16"/>
          <w:lang w:val="es-ES_tradnl"/>
        </w:rPr>
        <w:t xml:space="preserve"> por lo menos “</w:t>
      </w:r>
      <w:proofErr w:type="spellStart"/>
      <w:r w:rsidRPr="000676C8">
        <w:rPr>
          <w:rFonts w:ascii="Arial" w:hAnsi="Arial" w:cs="Arial"/>
          <w:i/>
          <w:iCs/>
          <w:spacing w:val="-3"/>
          <w:kern w:val="1"/>
          <w:sz w:val="16"/>
          <w:szCs w:val="16"/>
          <w:lang w:val="es-ES_tradnl"/>
        </w:rPr>
        <w:t>pari</w:t>
      </w:r>
      <w:proofErr w:type="spellEnd"/>
      <w:r w:rsidRPr="000676C8">
        <w:rPr>
          <w:rFonts w:ascii="Arial" w:hAnsi="Arial" w:cs="Arial"/>
          <w:i/>
          <w:iCs/>
          <w:spacing w:val="-3"/>
          <w:kern w:val="1"/>
          <w:sz w:val="16"/>
          <w:szCs w:val="16"/>
          <w:lang w:val="es-ES_tradnl"/>
        </w:rPr>
        <w:t xml:space="preserve"> </w:t>
      </w:r>
      <w:proofErr w:type="spellStart"/>
      <w:r w:rsidRPr="000676C8">
        <w:rPr>
          <w:rFonts w:ascii="Arial" w:hAnsi="Arial" w:cs="Arial"/>
          <w:i/>
          <w:iCs/>
          <w:spacing w:val="-3"/>
          <w:kern w:val="1"/>
          <w:sz w:val="16"/>
          <w:szCs w:val="16"/>
          <w:lang w:val="es-ES_tradnl"/>
        </w:rPr>
        <w:t>passu</w:t>
      </w:r>
      <w:proofErr w:type="spellEnd"/>
      <w:r w:rsidRPr="000676C8">
        <w:rPr>
          <w:rFonts w:ascii="Arial" w:hAnsi="Arial" w:cs="Arial"/>
          <w:spacing w:val="-3"/>
          <w:kern w:val="1"/>
          <w:sz w:val="16"/>
          <w:szCs w:val="16"/>
          <w:lang w:val="es-ES_tradnl"/>
        </w:rPr>
        <w:t>” en prioridad de pago con toda la demás deuda externa directa del emisor representada en valores no garantizada y no subordinada.</w:t>
      </w:r>
    </w:p>
    <w:p w14:paraId="1A0F2A10"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spacing w:val="-3"/>
          <w:kern w:val="1"/>
          <w:sz w:val="16"/>
          <w:szCs w:val="16"/>
          <w:lang w:val="es-ES_tradnl"/>
        </w:rPr>
      </w:pPr>
    </w:p>
    <w:p w14:paraId="52CD585D" w14:textId="77777777" w:rsidR="00B52686" w:rsidRPr="000676C8" w:rsidRDefault="00B52686" w:rsidP="00B52686">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0676C8">
        <w:rPr>
          <w:rFonts w:ascii="Arial" w:hAnsi="Arial" w:cs="Arial"/>
          <w:spacing w:val="-3"/>
          <w:kern w:val="1"/>
          <w:sz w:val="16"/>
          <w:szCs w:val="16"/>
          <w:lang w:val="es-ES_tradnl"/>
        </w:rPr>
        <w:t xml:space="preserve">1.3.6.1.2.7.2.3. La que establece el vencimiento acelerado de los valores al presentarse un incumplimiento en su pago, en el de otras emisiones realizadas o garantizadas por el gobierno extranjero o por la entidad pública extranjera, o en el de la deuda externa no representada en valores. </w:t>
      </w:r>
    </w:p>
    <w:p w14:paraId="2AC3DC9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6F2BA3E"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bookmarkStart w:id="0" w:name="_Hlk45488704"/>
      <w:r w:rsidRPr="00AC7550">
        <w:rPr>
          <w:rFonts w:ascii="Arial" w:hAnsi="Arial" w:cs="Arial"/>
          <w:kern w:val="1"/>
          <w:sz w:val="16"/>
          <w:szCs w:val="16"/>
          <w:lang w:val="es-ES_tradnl"/>
        </w:rPr>
        <w:t>1.3.6.1.2.8</w:t>
      </w:r>
      <w:bookmarkEnd w:id="0"/>
      <w:r w:rsidRPr="00AC7550">
        <w:rPr>
          <w:rFonts w:ascii="Arial" w:hAnsi="Arial" w:cs="Arial"/>
          <w:kern w:val="1"/>
          <w:sz w:val="16"/>
          <w:szCs w:val="16"/>
          <w:lang w:val="es-ES_tradnl"/>
        </w:rPr>
        <w:t xml:space="preserve">. Bonos verdes, aquellos </w:t>
      </w:r>
      <w:r w:rsidRPr="00AC7550">
        <w:rPr>
          <w:rFonts w:ascii="Arial" w:hAnsi="Arial" w:cs="Arial"/>
          <w:kern w:val="1"/>
          <w:sz w:val="16"/>
          <w:szCs w:val="16"/>
        </w:rPr>
        <w:t xml:space="preserve">en el que los fondos serán </w:t>
      </w:r>
      <w:r w:rsidRPr="00AC7550">
        <w:rPr>
          <w:rFonts w:ascii="Arial" w:hAnsi="Arial" w:cs="Arial"/>
          <w:kern w:val="1"/>
          <w:sz w:val="16"/>
          <w:szCs w:val="16"/>
          <w:lang w:val="es-ES_tradnl"/>
        </w:rPr>
        <w:t xml:space="preserve">destinados </w:t>
      </w:r>
      <w:r w:rsidRPr="00AC7550">
        <w:rPr>
          <w:rFonts w:ascii="Arial" w:hAnsi="Arial" w:cs="Arial"/>
          <w:kern w:val="1"/>
          <w:sz w:val="16"/>
          <w:szCs w:val="16"/>
        </w:rPr>
        <w:t>exclusivamente</w:t>
      </w:r>
      <w:r w:rsidRPr="00AC7550">
        <w:rPr>
          <w:rFonts w:ascii="Arial" w:hAnsi="Arial" w:cs="Arial"/>
          <w:kern w:val="1"/>
          <w:sz w:val="16"/>
          <w:szCs w:val="16"/>
          <w:lang w:val="es-ES_tradnl"/>
        </w:rPr>
        <w:t xml:space="preserve"> a financiar o refinanciar ya sea en parte o totalmente, proyectos, planes de inversión nuevos o existentes, actividades de investigación y desarrollo, o uso de fondos que </w:t>
      </w:r>
      <w:r w:rsidRPr="00AC7550">
        <w:rPr>
          <w:rFonts w:ascii="Arial" w:hAnsi="Arial" w:cs="Arial"/>
          <w:kern w:val="1"/>
          <w:sz w:val="16"/>
          <w:szCs w:val="16"/>
        </w:rPr>
        <w:t>puedan relacionarse con acciones para (i) mitigar los impactos negativos al medio ambiente y al cambio climático y/o para adaptarse a sus efectos y/o (</w:t>
      </w:r>
      <w:proofErr w:type="spellStart"/>
      <w:r w:rsidRPr="00AC7550">
        <w:rPr>
          <w:rFonts w:ascii="Arial" w:hAnsi="Arial" w:cs="Arial"/>
          <w:kern w:val="1"/>
          <w:sz w:val="16"/>
          <w:szCs w:val="16"/>
        </w:rPr>
        <w:t>ii</w:t>
      </w:r>
      <w:proofErr w:type="spellEnd"/>
      <w:r w:rsidRPr="00AC7550">
        <w:rPr>
          <w:rFonts w:ascii="Arial" w:hAnsi="Arial" w:cs="Arial"/>
          <w:kern w:val="1"/>
          <w:sz w:val="16"/>
          <w:szCs w:val="16"/>
        </w:rPr>
        <w:t>) generar efectos positivos sobre el medio ambiente</w:t>
      </w:r>
      <w:r w:rsidRPr="00AC7550">
        <w:rPr>
          <w:rFonts w:ascii="Arial" w:hAnsi="Arial"/>
          <w:kern w:val="1"/>
          <w:sz w:val="16"/>
          <w:lang w:val="es-ES_tradnl"/>
        </w:rPr>
        <w:t>.</w:t>
      </w:r>
    </w:p>
    <w:p w14:paraId="18DF9C24"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p>
    <w:p w14:paraId="5575CCB8"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r w:rsidRPr="00AC7550">
        <w:rPr>
          <w:rFonts w:ascii="Arial" w:hAnsi="Arial" w:cs="Arial"/>
          <w:kern w:val="1"/>
          <w:sz w:val="16"/>
          <w:szCs w:val="16"/>
          <w:lang w:val="es-ES_tradnl"/>
        </w:rPr>
        <w:t>Además de los requisitos exigidos para los bonos ordinarios, los bonos verdes deberán incorporar la siguiente información relacionada con el uso de los fondos, la selección y evaluación de proyectos, la gestión de los fondos y la revelación de información:</w:t>
      </w:r>
    </w:p>
    <w:p w14:paraId="4155CC73"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1391287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bookmarkStart w:id="1" w:name="_Hlk46333633"/>
      <w:r w:rsidRPr="00AC7550">
        <w:rPr>
          <w:rFonts w:ascii="Arial" w:hAnsi="Arial" w:cs="Arial"/>
          <w:kern w:val="1"/>
          <w:sz w:val="16"/>
          <w:szCs w:val="16"/>
          <w:lang w:val="es-ES_tradnl"/>
        </w:rPr>
        <w:t>1.3.6.1.2.8.1. Uso de los fondos.</w:t>
      </w:r>
    </w:p>
    <w:p w14:paraId="42CA9BD9"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71C9B14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1.3.6.1.2.8.1.</w:t>
      </w:r>
      <w:bookmarkEnd w:id="1"/>
      <w:r w:rsidRPr="00AC7550">
        <w:rPr>
          <w:rFonts w:ascii="Arial" w:hAnsi="Arial" w:cs="Arial"/>
          <w:kern w:val="1"/>
          <w:sz w:val="16"/>
          <w:szCs w:val="16"/>
          <w:lang w:val="es-ES_tradnl"/>
        </w:rPr>
        <w:t xml:space="preserve">1 Las políticas que regirán el uso de fondos, previendo que éstos serán destinados, a la financiación de proyectos, planes de inversión o usos, relacionados con los fines previstos en el numeral 1.3.6.1.2.8. </w:t>
      </w:r>
      <w:r w:rsidRPr="00AC7550">
        <w:rPr>
          <w:rFonts w:ascii="Arial" w:hAnsi="Arial" w:cs="Arial"/>
          <w:kern w:val="1"/>
          <w:sz w:val="16"/>
          <w:szCs w:val="16"/>
        </w:rPr>
        <w:t>La información de las políticas del uso de los fondos deberá ser actualizada en caso de que haya un hecho sobreviniente y revelado al mercado.</w:t>
      </w:r>
    </w:p>
    <w:p w14:paraId="61A26AF2"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2EEDBFD3" w14:textId="7DD4CBE7" w:rsidR="00B52686" w:rsidRPr="00AC7550" w:rsidRDefault="00B5268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1.3.6.1.2.8.1.2.</w:t>
      </w:r>
      <w:r w:rsidRPr="00AC7550">
        <w:rPr>
          <w:rFonts w:ascii="Arial" w:hAnsi="Arial" w:cs="Arial"/>
          <w:kern w:val="1"/>
          <w:sz w:val="16"/>
          <w:szCs w:val="16"/>
        </w:rPr>
        <w:t xml:space="preserve"> El sistema de clasificación o la taxonomía sobre los cuales se van a identificar los proyectos, planes de inversión, </w:t>
      </w:r>
      <w:r w:rsidRPr="00AC7550">
        <w:rPr>
          <w:rFonts w:ascii="Arial" w:hAnsi="Arial" w:cs="Arial"/>
          <w:kern w:val="1"/>
          <w:sz w:val="16"/>
          <w:szCs w:val="16"/>
          <w:lang w:val="es-ES_tradnl"/>
        </w:rPr>
        <w:t>o uso de fondos</w:t>
      </w:r>
      <w:r w:rsidR="00535BBF">
        <w:rPr>
          <w:rFonts w:ascii="Arial" w:hAnsi="Arial" w:cs="Arial"/>
          <w:kern w:val="1"/>
          <w:sz w:val="16"/>
          <w:szCs w:val="16"/>
        </w:rPr>
        <w:t xml:space="preserve"> </w:t>
      </w:r>
      <w:r w:rsidR="00535BBF" w:rsidRPr="00AC7550">
        <w:rPr>
          <w:rFonts w:ascii="Arial" w:hAnsi="Arial" w:cs="Arial"/>
          <w:b/>
          <w:bCs/>
          <w:kern w:val="1"/>
          <w:sz w:val="16"/>
          <w:szCs w:val="16"/>
        </w:rPr>
        <w:t>y</w:t>
      </w:r>
      <w:r w:rsidRPr="00AC7550">
        <w:rPr>
          <w:rFonts w:ascii="Arial" w:hAnsi="Arial" w:cs="Arial"/>
          <w:kern w:val="1"/>
          <w:sz w:val="16"/>
          <w:szCs w:val="16"/>
        </w:rPr>
        <w:t xml:space="preserve"> receptores de los ingresos de la emisión.</w:t>
      </w:r>
    </w:p>
    <w:p w14:paraId="71E4C96E" w14:textId="77777777" w:rsidR="00B52686" w:rsidRPr="00AC7550" w:rsidRDefault="00B5268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p>
    <w:p w14:paraId="1FABFD75" w14:textId="77777777" w:rsidR="008A6D66" w:rsidRPr="008A6D66" w:rsidRDefault="008A6D66" w:rsidP="008A6D66">
      <w:pPr>
        <w:pBdr>
          <w:left w:val="single" w:sz="4" w:space="1" w:color="auto"/>
        </w:pBdr>
        <w:autoSpaceDE w:val="0"/>
        <w:autoSpaceDN w:val="0"/>
        <w:adjustRightInd w:val="0"/>
        <w:spacing w:after="0" w:line="240" w:lineRule="auto"/>
        <w:jc w:val="both"/>
        <w:rPr>
          <w:rFonts w:ascii="Arial" w:hAnsi="Arial" w:cs="Arial"/>
          <w:bCs/>
          <w:kern w:val="1"/>
          <w:sz w:val="16"/>
          <w:szCs w:val="16"/>
        </w:rPr>
      </w:pPr>
      <w:r w:rsidRPr="008A6D66">
        <w:rPr>
          <w:rFonts w:ascii="Arial" w:hAnsi="Arial" w:cs="Arial"/>
          <w:bCs/>
          <w:kern w:val="1"/>
          <w:sz w:val="16"/>
          <w:szCs w:val="16"/>
        </w:rPr>
        <w:t>Los emisores podrán utilizar taxonomías reconocidas nacional o internacionalmente, en cuyo caso deberán ser debidamente explicadas en el prospecto de información, pudiendo de cualquier forma incorporarlas por referencia en el mismo. De lo contrario el emisor deberá explicar de forma detallada cómo el uso de fondos</w:t>
      </w:r>
      <w:r w:rsidRPr="008A6D66">
        <w:rPr>
          <w:rFonts w:ascii="Arial" w:hAnsi="Arial" w:cs="Arial"/>
          <w:bCs/>
          <w:kern w:val="1"/>
          <w:sz w:val="16"/>
          <w:szCs w:val="16"/>
          <w:lang w:val="es-ES_tradnl"/>
        </w:rPr>
        <w:t xml:space="preserve"> </w:t>
      </w:r>
      <w:r w:rsidRPr="008A6D66">
        <w:rPr>
          <w:rFonts w:ascii="Arial" w:hAnsi="Arial" w:cs="Arial"/>
          <w:bCs/>
          <w:kern w:val="1"/>
          <w:sz w:val="16"/>
          <w:szCs w:val="16"/>
        </w:rPr>
        <w:t xml:space="preserve">se relaciona con los objetivos de sostenibilidad ambiental establecidos en el numeral </w:t>
      </w:r>
      <w:r w:rsidRPr="008A6D66">
        <w:rPr>
          <w:rFonts w:ascii="Arial" w:hAnsi="Arial"/>
          <w:bCs/>
          <w:kern w:val="1"/>
          <w:sz w:val="16"/>
          <w:lang w:val="es-ES_tradnl"/>
        </w:rPr>
        <w:t>1.3.6.1.2.8.</w:t>
      </w:r>
      <w:r w:rsidRPr="008A6D66">
        <w:rPr>
          <w:rFonts w:ascii="Arial" w:hAnsi="Arial" w:cs="Arial"/>
          <w:bCs/>
          <w:kern w:val="1"/>
          <w:sz w:val="16"/>
          <w:szCs w:val="16"/>
          <w:lang w:val="es-ES_tradnl"/>
        </w:rPr>
        <w:t>2.1</w:t>
      </w:r>
      <w:r w:rsidRPr="008A6D66">
        <w:rPr>
          <w:rFonts w:ascii="Arial" w:hAnsi="Arial" w:cs="Arial"/>
          <w:bCs/>
          <w:kern w:val="1"/>
          <w:sz w:val="16"/>
          <w:szCs w:val="16"/>
        </w:rPr>
        <w:t>.</w:t>
      </w:r>
    </w:p>
    <w:p w14:paraId="7BCDB78F" w14:textId="11BC8AD7" w:rsidR="008A6D66" w:rsidRDefault="008A6D66" w:rsidP="008A6D66">
      <w:pPr>
        <w:pBdr>
          <w:left w:val="single" w:sz="4" w:space="1" w:color="auto"/>
        </w:pBdr>
        <w:autoSpaceDE w:val="0"/>
        <w:autoSpaceDN w:val="0"/>
        <w:adjustRightInd w:val="0"/>
        <w:spacing w:after="0" w:line="240" w:lineRule="auto"/>
        <w:jc w:val="both"/>
        <w:rPr>
          <w:rFonts w:ascii="Arial" w:hAnsi="Arial" w:cs="Arial"/>
          <w:kern w:val="1"/>
          <w:sz w:val="16"/>
          <w:szCs w:val="16"/>
        </w:rPr>
      </w:pPr>
    </w:p>
    <w:p w14:paraId="09271B12" w14:textId="3E3B29DA" w:rsidR="008A6D66" w:rsidRPr="008A6D66" w:rsidRDefault="008A6D66" w:rsidP="008A6D66">
      <w:pPr>
        <w:pBdr>
          <w:left w:val="single" w:sz="4" w:space="1" w:color="auto"/>
        </w:pBdr>
        <w:autoSpaceDE w:val="0"/>
        <w:autoSpaceDN w:val="0"/>
        <w:adjustRightInd w:val="0"/>
        <w:spacing w:after="0" w:line="240" w:lineRule="auto"/>
        <w:jc w:val="both"/>
        <w:rPr>
          <w:rFonts w:ascii="Arial" w:hAnsi="Arial" w:cs="Arial"/>
          <w:b/>
          <w:bCs/>
          <w:kern w:val="1"/>
          <w:sz w:val="16"/>
          <w:szCs w:val="16"/>
        </w:rPr>
      </w:pPr>
      <w:bookmarkStart w:id="2" w:name="_Hlk97734671"/>
      <w:r w:rsidRPr="008A6D66">
        <w:rPr>
          <w:rFonts w:ascii="Arial" w:hAnsi="Arial" w:cs="Arial"/>
          <w:b/>
          <w:bCs/>
          <w:kern w:val="1"/>
          <w:sz w:val="16"/>
          <w:szCs w:val="16"/>
        </w:rPr>
        <w:t xml:space="preserve">Para los efectos del presente Capítulo, </w:t>
      </w:r>
      <w:r>
        <w:rPr>
          <w:rFonts w:ascii="Arial" w:hAnsi="Arial" w:cs="Arial"/>
          <w:b/>
          <w:bCs/>
          <w:kern w:val="1"/>
          <w:sz w:val="16"/>
          <w:szCs w:val="16"/>
        </w:rPr>
        <w:t xml:space="preserve">se entiende por </w:t>
      </w:r>
      <w:r w:rsidRPr="008A6D66">
        <w:rPr>
          <w:rFonts w:ascii="Arial" w:hAnsi="Arial" w:cs="Arial"/>
          <w:b/>
          <w:bCs/>
          <w:kern w:val="1"/>
          <w:sz w:val="16"/>
          <w:szCs w:val="16"/>
        </w:rPr>
        <w:t>taxonomía reconocida nacionalmente</w:t>
      </w:r>
      <w:r w:rsidR="00AB1EE8">
        <w:rPr>
          <w:rFonts w:ascii="Arial" w:hAnsi="Arial" w:cs="Arial"/>
          <w:b/>
          <w:bCs/>
          <w:kern w:val="1"/>
          <w:sz w:val="16"/>
          <w:szCs w:val="16"/>
        </w:rPr>
        <w:t>,</w:t>
      </w:r>
      <w:r w:rsidRPr="008A6D66">
        <w:rPr>
          <w:rFonts w:ascii="Arial" w:hAnsi="Arial" w:cs="Arial"/>
          <w:b/>
          <w:bCs/>
          <w:kern w:val="1"/>
          <w:sz w:val="16"/>
          <w:szCs w:val="16"/>
        </w:rPr>
        <w:t xml:space="preserve"> la Taxonomía Verde de Colombia</w:t>
      </w:r>
      <w:bookmarkEnd w:id="2"/>
      <w:r w:rsidR="00E36DB4">
        <w:rPr>
          <w:rFonts w:ascii="Arial" w:hAnsi="Arial" w:cs="Arial"/>
          <w:b/>
          <w:bCs/>
          <w:kern w:val="1"/>
          <w:sz w:val="16"/>
          <w:szCs w:val="16"/>
        </w:rPr>
        <w:t>.</w:t>
      </w:r>
    </w:p>
    <w:p w14:paraId="11255425"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p>
    <w:p w14:paraId="6019BC6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1.3.6.1.2.8.2. Proceso de selección y evaluación de proyectos.</w:t>
      </w:r>
    </w:p>
    <w:p w14:paraId="565D6E4B"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595D19E6"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1.3.6.1.2.8.2.1</w:t>
      </w:r>
      <w:r w:rsidRPr="00AC7550">
        <w:rPr>
          <w:rFonts w:ascii="Arial" w:hAnsi="Arial" w:cs="Arial"/>
          <w:kern w:val="1"/>
          <w:sz w:val="16"/>
          <w:szCs w:val="16"/>
        </w:rPr>
        <w:t>. Los objetivos de sostenibilidad ambiental que busca la emisión.</w:t>
      </w:r>
    </w:p>
    <w:p w14:paraId="63B7608C"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lang w:val="es-ES_tradnl"/>
        </w:rPr>
      </w:pPr>
    </w:p>
    <w:p w14:paraId="0CFFCC7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1.3.6.1.2.8.2.2. Los criterios de elegibilidad, o de exclusión de ser el caso, definidos para la selección de los proyectos, planes de inversión, o uso de fondos y la relación entre éstos y </w:t>
      </w:r>
      <w:r w:rsidRPr="00AC7550">
        <w:rPr>
          <w:rFonts w:ascii="Arial" w:hAnsi="Arial" w:cs="Arial"/>
          <w:kern w:val="1"/>
          <w:sz w:val="16"/>
          <w:szCs w:val="16"/>
        </w:rPr>
        <w:t xml:space="preserve">los objetivos de sostenibilidad ambiental establecidos en el numeral </w:t>
      </w:r>
      <w:r w:rsidRPr="00AC7550">
        <w:rPr>
          <w:rFonts w:ascii="Arial" w:hAnsi="Arial" w:cs="Arial"/>
          <w:kern w:val="1"/>
          <w:sz w:val="16"/>
          <w:szCs w:val="16"/>
          <w:lang w:val="es-ES_tradnl"/>
        </w:rPr>
        <w:t>1.3.6.1.2.8.2.1.</w:t>
      </w:r>
    </w:p>
    <w:p w14:paraId="4C533FB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lang w:val="es-ES_tradnl"/>
        </w:rPr>
      </w:pPr>
    </w:p>
    <w:p w14:paraId="30BFB3C2"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rPr>
      </w:pPr>
      <w:r w:rsidRPr="00AC7550">
        <w:rPr>
          <w:rFonts w:ascii="Arial" w:hAnsi="Arial" w:cs="Arial"/>
          <w:kern w:val="1"/>
          <w:sz w:val="16"/>
          <w:szCs w:val="16"/>
          <w:lang w:val="es-ES_tradnl"/>
        </w:rPr>
        <w:t xml:space="preserve">1.3.6.1.2.8.2.3. </w:t>
      </w:r>
      <w:r w:rsidRPr="00AC7550">
        <w:rPr>
          <w:rFonts w:ascii="Arial" w:hAnsi="Arial" w:cs="Arial"/>
          <w:kern w:val="1"/>
          <w:sz w:val="16"/>
          <w:szCs w:val="16"/>
        </w:rPr>
        <w:t>Las políticas y procedimientos que permitan realizar la identificación, evaluación y seguimiento de los riesgos sociales y ambientales de los proyectos, planes de inversión, o uso de fondos, de ser aplicables.</w:t>
      </w:r>
    </w:p>
    <w:p w14:paraId="455FEB60" w14:textId="77777777" w:rsidR="00B52686" w:rsidRPr="00AC7550" w:rsidRDefault="00B52686" w:rsidP="00AC7550">
      <w:pPr>
        <w:autoSpaceDE w:val="0"/>
        <w:autoSpaceDN w:val="0"/>
        <w:adjustRightInd w:val="0"/>
        <w:spacing w:after="0" w:line="240" w:lineRule="auto"/>
        <w:jc w:val="both"/>
        <w:rPr>
          <w:rFonts w:ascii="Arial" w:hAnsi="Arial"/>
          <w:kern w:val="1"/>
          <w:sz w:val="16"/>
        </w:rPr>
      </w:pPr>
    </w:p>
    <w:p w14:paraId="0BD589CF"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1.3.6.1.2.8.2.4. En caso de que de la denominación de bonos verdes se derive de la realización de proyectos, planes de inversión o uso de fondos determinados al momento de la emisión, se incluirá adicional a lo dispuesto en los </w:t>
      </w:r>
      <w:proofErr w:type="spellStart"/>
      <w:r w:rsidRPr="00AC7550">
        <w:rPr>
          <w:rFonts w:ascii="Arial" w:hAnsi="Arial" w:cs="Arial"/>
          <w:kern w:val="1"/>
          <w:sz w:val="16"/>
          <w:szCs w:val="16"/>
          <w:lang w:val="es-ES_tradnl"/>
        </w:rPr>
        <w:t>subnumerales</w:t>
      </w:r>
      <w:proofErr w:type="spellEnd"/>
      <w:r w:rsidRPr="00AC7550">
        <w:rPr>
          <w:rFonts w:ascii="Arial" w:hAnsi="Arial" w:cs="Arial"/>
          <w:kern w:val="1"/>
          <w:sz w:val="16"/>
          <w:szCs w:val="16"/>
          <w:lang w:val="es-ES_tradnl"/>
        </w:rPr>
        <w:t xml:space="preserve"> anteriores la siguiente información respecto de </w:t>
      </w:r>
      <w:proofErr w:type="gramStart"/>
      <w:r w:rsidRPr="00AC7550">
        <w:rPr>
          <w:rFonts w:ascii="Arial" w:hAnsi="Arial" w:cs="Arial"/>
          <w:kern w:val="1"/>
          <w:sz w:val="16"/>
          <w:szCs w:val="16"/>
          <w:lang w:val="es-ES_tradnl"/>
        </w:rPr>
        <w:t>los mismos</w:t>
      </w:r>
      <w:proofErr w:type="gramEnd"/>
      <w:r w:rsidRPr="00AC7550">
        <w:rPr>
          <w:rFonts w:ascii="Arial" w:hAnsi="Arial" w:cs="Arial"/>
          <w:kern w:val="1"/>
          <w:sz w:val="16"/>
          <w:szCs w:val="16"/>
          <w:lang w:val="es-ES_tradnl"/>
        </w:rPr>
        <w:t>:</w:t>
      </w:r>
    </w:p>
    <w:p w14:paraId="1A148C10"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214E0EB1"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 xml:space="preserve">1.3.6.1.2.8.2.4.1. </w:t>
      </w:r>
      <w:r w:rsidRPr="00AC7550">
        <w:rPr>
          <w:rFonts w:ascii="Arial" w:hAnsi="Arial" w:cs="Arial"/>
          <w:kern w:val="1"/>
          <w:sz w:val="16"/>
          <w:szCs w:val="16"/>
        </w:rPr>
        <w:t>La lista de proyectos, planes de inversión o uso de fondos, preseleccionados y determinados al momento de la emisión y la revelación de su cuantía estimada como porcentaje del total de los fondos que se pretenden captar con la emisión.</w:t>
      </w:r>
    </w:p>
    <w:p w14:paraId="4A965DB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0595FEE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1.3.6.1.2.8.2.4.2. Una explicación de los principales elementos financieros, técnicos y jurídicos de los mismos, incluyendo los montos a ser invertidos y cronogramas de inversión previstos.</w:t>
      </w:r>
    </w:p>
    <w:p w14:paraId="66610AC8"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3E7883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bCs/>
          <w:kern w:val="1"/>
          <w:sz w:val="16"/>
          <w:szCs w:val="16"/>
        </w:rPr>
      </w:pPr>
      <w:r w:rsidRPr="00AC7550">
        <w:rPr>
          <w:rFonts w:ascii="Arial" w:hAnsi="Arial" w:cs="Arial"/>
          <w:bCs/>
          <w:kern w:val="1"/>
          <w:sz w:val="16"/>
          <w:szCs w:val="16"/>
          <w:lang w:val="es-ES_tradnl"/>
        </w:rPr>
        <w:t xml:space="preserve">1.3.6.1.2.8.2.4.3. </w:t>
      </w:r>
      <w:r w:rsidRPr="00AC7550">
        <w:rPr>
          <w:rFonts w:ascii="Arial" w:hAnsi="Arial" w:cs="Arial"/>
          <w:bCs/>
          <w:kern w:val="1"/>
          <w:sz w:val="16"/>
          <w:szCs w:val="16"/>
        </w:rPr>
        <w:t xml:space="preserve">La relación de los proyectos, planes o uso de fondos seleccionados, con la taxonomía o sistema de clasificación utilizado y el cumplimiento de </w:t>
      </w:r>
      <w:r w:rsidRPr="00AC7550">
        <w:rPr>
          <w:rFonts w:ascii="Arial" w:hAnsi="Arial" w:cs="Arial"/>
          <w:bCs/>
          <w:kern w:val="1"/>
          <w:sz w:val="16"/>
          <w:szCs w:val="16"/>
          <w:lang w:val="es-ES_tradnl"/>
        </w:rPr>
        <w:t xml:space="preserve">los </w:t>
      </w:r>
      <w:r w:rsidRPr="00AC7550">
        <w:rPr>
          <w:rFonts w:ascii="Arial" w:hAnsi="Arial" w:cs="Arial"/>
          <w:bCs/>
          <w:kern w:val="1"/>
          <w:sz w:val="16"/>
          <w:szCs w:val="16"/>
        </w:rPr>
        <w:t xml:space="preserve">los objetivos de sostenibilidad ambiental establecidos en el numeral </w:t>
      </w:r>
      <w:r w:rsidRPr="00AC7550">
        <w:rPr>
          <w:rFonts w:ascii="Arial" w:hAnsi="Arial"/>
          <w:bCs/>
          <w:kern w:val="1"/>
          <w:sz w:val="16"/>
          <w:lang w:val="es-ES_tradnl"/>
        </w:rPr>
        <w:t>1.3.6.1.2.8.</w:t>
      </w:r>
      <w:r w:rsidRPr="00AC7550">
        <w:rPr>
          <w:rFonts w:ascii="Arial" w:hAnsi="Arial" w:cs="Arial"/>
          <w:bCs/>
          <w:kern w:val="1"/>
          <w:sz w:val="16"/>
          <w:szCs w:val="16"/>
          <w:lang w:val="es-ES_tradnl"/>
        </w:rPr>
        <w:t>2.1</w:t>
      </w:r>
      <w:r w:rsidRPr="00AC7550">
        <w:rPr>
          <w:rFonts w:ascii="Arial" w:hAnsi="Arial"/>
          <w:bCs/>
          <w:kern w:val="1"/>
          <w:sz w:val="16"/>
          <w:lang w:val="es-ES_tradnl"/>
        </w:rPr>
        <w:t>.</w:t>
      </w:r>
    </w:p>
    <w:p w14:paraId="5460FBCC"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27A890D6"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r w:rsidRPr="00AC7550">
        <w:rPr>
          <w:rFonts w:ascii="Arial" w:hAnsi="Arial" w:cs="Arial"/>
          <w:kern w:val="1"/>
          <w:sz w:val="16"/>
          <w:szCs w:val="16"/>
          <w:lang w:val="es-ES_tradnl"/>
        </w:rPr>
        <w:t xml:space="preserve">1.3.6.1.2.8.2.5. Los mecanismos que permitan realizar la evaluación y seguimiento de los proyectos, planes de inversión o uso de fondos que cumplan </w:t>
      </w:r>
      <w:r w:rsidRPr="00AC7550">
        <w:rPr>
          <w:rFonts w:ascii="Arial" w:hAnsi="Arial" w:cs="Arial"/>
          <w:kern w:val="1"/>
          <w:sz w:val="16"/>
          <w:szCs w:val="16"/>
        </w:rPr>
        <w:t xml:space="preserve">los objetivos de sostenibilidad ambiental establecidos en el numeral </w:t>
      </w:r>
      <w:r w:rsidRPr="00AC7550">
        <w:rPr>
          <w:rFonts w:ascii="Arial" w:hAnsi="Arial" w:cs="Arial"/>
          <w:kern w:val="1"/>
          <w:sz w:val="16"/>
          <w:szCs w:val="16"/>
          <w:lang w:val="es-ES_tradnl"/>
        </w:rPr>
        <w:t>1.3.6.1.2.8.2.1</w:t>
      </w:r>
      <w:r w:rsidRPr="00AC7550">
        <w:rPr>
          <w:rFonts w:ascii="Arial" w:hAnsi="Arial"/>
          <w:kern w:val="1"/>
          <w:sz w:val="16"/>
          <w:lang w:val="es-ES_tradnl"/>
        </w:rPr>
        <w:t>.</w:t>
      </w:r>
      <w:r w:rsidRPr="00AC7550">
        <w:rPr>
          <w:rFonts w:ascii="Arial" w:hAnsi="Arial" w:cs="Arial"/>
          <w:kern w:val="1"/>
          <w:sz w:val="16"/>
          <w:szCs w:val="16"/>
          <w:lang w:val="es-ES_tradnl"/>
        </w:rPr>
        <w:t>, y la forma y periodicidad en que éstos se darán a conocer a los inversionistas.</w:t>
      </w:r>
    </w:p>
    <w:p w14:paraId="08C91F69"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kern w:val="1"/>
          <w:sz w:val="16"/>
        </w:rPr>
      </w:pPr>
    </w:p>
    <w:p w14:paraId="3290CEF9" w14:textId="77777777" w:rsidR="00B52686" w:rsidRPr="00AC7550" w:rsidRDefault="00B52686" w:rsidP="00AC7550">
      <w:pPr>
        <w:autoSpaceDE w:val="0"/>
        <w:autoSpaceDN w:val="0"/>
        <w:adjustRightInd w:val="0"/>
        <w:spacing w:after="0" w:line="240" w:lineRule="auto"/>
        <w:jc w:val="both"/>
        <w:rPr>
          <w:rFonts w:ascii="Arial" w:hAnsi="Arial" w:cs="Arial"/>
          <w:kern w:val="1"/>
          <w:sz w:val="16"/>
          <w:szCs w:val="16"/>
          <w:lang w:val="es-ES_tradnl"/>
        </w:rPr>
      </w:pPr>
      <w:r w:rsidRPr="00AC7550">
        <w:rPr>
          <w:rFonts w:ascii="Arial" w:hAnsi="Arial" w:cs="Arial"/>
          <w:kern w:val="1"/>
          <w:sz w:val="16"/>
          <w:szCs w:val="16"/>
          <w:lang w:val="es-ES_tradnl"/>
        </w:rPr>
        <w:t>1.3.6.1.2.8.3. Políticas y/o procesos para la gestión de fondos.</w:t>
      </w:r>
    </w:p>
    <w:p w14:paraId="78610144"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lang w:val="es-ES_tradnl"/>
        </w:rPr>
      </w:pPr>
    </w:p>
    <w:p w14:paraId="3C7A939A"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lang w:val="es-ES_tradnl"/>
        </w:rPr>
        <w:t xml:space="preserve">1.3.6.1.2.8.3.1. Las </w:t>
      </w:r>
      <w:r w:rsidRPr="00AC7550">
        <w:rPr>
          <w:rFonts w:ascii="Arial" w:hAnsi="Arial" w:cs="Arial"/>
          <w:kern w:val="1"/>
          <w:sz w:val="16"/>
          <w:szCs w:val="16"/>
        </w:rPr>
        <w:t>políticas de transparencia del manejo de los fondos obtenidos del bono verde, las cuales podrán prever mecanismos de gestión, trazabilidad e informe sobre los mismos.</w:t>
      </w:r>
    </w:p>
    <w:p w14:paraId="457D4533" w14:textId="77777777" w:rsidR="00B52686" w:rsidRPr="00AC7550" w:rsidRDefault="00B52686" w:rsidP="00AC7550">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p>
    <w:p w14:paraId="5213DC7F" w14:textId="2539CFE3" w:rsidR="0086740C" w:rsidRPr="004C1BAE" w:rsidRDefault="00B52686" w:rsidP="004C1BAE">
      <w:pPr>
        <w:widowControl w:val="0"/>
        <w:tabs>
          <w:tab w:val="left" w:pos="-720"/>
          <w:tab w:val="left" w:pos="0"/>
        </w:tabs>
        <w:autoSpaceDE w:val="0"/>
        <w:autoSpaceDN w:val="0"/>
        <w:adjustRightInd w:val="0"/>
        <w:spacing w:after="0" w:line="240" w:lineRule="auto"/>
        <w:ind w:right="142"/>
        <w:jc w:val="both"/>
        <w:rPr>
          <w:rFonts w:ascii="Arial" w:hAnsi="Arial" w:cs="Arial"/>
          <w:kern w:val="1"/>
          <w:sz w:val="16"/>
          <w:szCs w:val="16"/>
        </w:rPr>
      </w:pPr>
      <w:r w:rsidRPr="00AC7550">
        <w:rPr>
          <w:rFonts w:ascii="Arial" w:hAnsi="Arial" w:cs="Arial"/>
          <w:kern w:val="1"/>
          <w:sz w:val="16"/>
          <w:szCs w:val="16"/>
        </w:rPr>
        <w:t xml:space="preserve">Adicionalmente, se deberán prever mecanismos de información a los inversionistas respecto del uso que se les </w:t>
      </w:r>
    </w:p>
    <w:sectPr w:rsidR="0086740C" w:rsidRPr="004C1BAE" w:rsidSect="004B61BB">
      <w:footerReference w:type="default" r:id="rId11"/>
      <w:headerReference w:type="first" r:id="rId12"/>
      <w:footerReference w:type="first" r:id="rId13"/>
      <w:pgSz w:w="12240" w:h="18720" w:code="14"/>
      <w:pgMar w:top="1418" w:right="1701" w:bottom="1418" w:left="1701" w:header="1134" w:footer="1218" w:gutter="0"/>
      <w:pgNumType w:start="1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02FD1" w14:textId="77777777" w:rsidR="000D5EF7" w:rsidRDefault="000D5EF7" w:rsidP="00755273">
      <w:pPr>
        <w:spacing w:after="0" w:line="240" w:lineRule="auto"/>
      </w:pPr>
      <w:r>
        <w:separator/>
      </w:r>
    </w:p>
  </w:endnote>
  <w:endnote w:type="continuationSeparator" w:id="0">
    <w:p w14:paraId="44C9E87B" w14:textId="77777777" w:rsidR="000D5EF7" w:rsidRDefault="000D5EF7" w:rsidP="00755273">
      <w:pPr>
        <w:spacing w:after="0" w:line="240" w:lineRule="auto"/>
      </w:pPr>
      <w:r>
        <w:continuationSeparator/>
      </w:r>
    </w:p>
  </w:endnote>
  <w:endnote w:type="continuationNotice" w:id="1">
    <w:p w14:paraId="43ACE57C" w14:textId="77777777" w:rsidR="000D5EF7" w:rsidRDefault="000D5E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D385" w14:textId="77777777" w:rsidR="00113226" w:rsidRPr="00794704" w:rsidRDefault="00113226" w:rsidP="00113226">
    <w:pPr>
      <w:pStyle w:val="Piedepgina"/>
      <w:framePr w:wrap="none" w:vAnchor="text" w:hAnchor="page" w:x="9997" w:y="11"/>
      <w:rPr>
        <w:rStyle w:val="Nmerodepgina"/>
        <w:rFonts w:ascii="Arial" w:hAnsi="Arial" w:cs="Arial"/>
        <w:b/>
        <w:bCs/>
        <w:sz w:val="18"/>
        <w:szCs w:val="18"/>
      </w:rPr>
    </w:pPr>
    <w:r w:rsidRPr="00794704">
      <w:rPr>
        <w:rStyle w:val="Nmerodepgina"/>
        <w:rFonts w:ascii="Arial" w:hAnsi="Arial" w:cs="Arial"/>
        <w:b/>
        <w:bCs/>
        <w:sz w:val="18"/>
        <w:szCs w:val="18"/>
      </w:rPr>
      <w:fldChar w:fldCharType="begin"/>
    </w:r>
    <w:r w:rsidRPr="00794704">
      <w:rPr>
        <w:rStyle w:val="Nmerodepgina"/>
        <w:rFonts w:ascii="Arial" w:hAnsi="Arial" w:cs="Arial"/>
        <w:b/>
        <w:bCs/>
        <w:sz w:val="18"/>
        <w:szCs w:val="18"/>
      </w:rPr>
      <w:instrText xml:space="preserve"> PAGE </w:instrText>
    </w:r>
    <w:r w:rsidRPr="00794704">
      <w:rPr>
        <w:rStyle w:val="Nmerodepgina"/>
        <w:rFonts w:ascii="Arial" w:hAnsi="Arial" w:cs="Arial"/>
        <w:b/>
        <w:bCs/>
        <w:sz w:val="18"/>
        <w:szCs w:val="18"/>
      </w:rPr>
      <w:fldChar w:fldCharType="separate"/>
    </w:r>
    <w:r w:rsidRPr="00794704">
      <w:rPr>
        <w:rStyle w:val="Nmerodepgina"/>
        <w:rFonts w:ascii="Arial" w:hAnsi="Arial" w:cs="Arial"/>
        <w:b/>
        <w:bCs/>
        <w:noProof/>
        <w:sz w:val="18"/>
        <w:szCs w:val="18"/>
      </w:rPr>
      <w:t>18</w:t>
    </w:r>
    <w:r w:rsidRPr="00794704">
      <w:rPr>
        <w:rStyle w:val="Nmerodepgina"/>
        <w:rFonts w:ascii="Arial" w:hAnsi="Arial" w:cs="Arial"/>
        <w:b/>
        <w:bCs/>
        <w:sz w:val="18"/>
        <w:szCs w:val="18"/>
      </w:rPr>
      <w:fldChar w:fldCharType="end"/>
    </w:r>
  </w:p>
  <w:p w14:paraId="10E336AA" w14:textId="77777777" w:rsidR="00113226" w:rsidRPr="0086740C" w:rsidRDefault="00113226" w:rsidP="00113226">
    <w:pPr>
      <w:pStyle w:val="Piedepgina"/>
      <w:tabs>
        <w:tab w:val="clear" w:pos="4419"/>
        <w:tab w:val="clear" w:pos="8838"/>
        <w:tab w:val="center" w:pos="4252"/>
        <w:tab w:val="right" w:pos="8504"/>
      </w:tabs>
      <w:spacing w:after="0" w:line="240" w:lineRule="auto"/>
      <w:ind w:right="360"/>
      <w:rPr>
        <w:rFonts w:ascii="Arial" w:eastAsia="Times New Roman" w:hAnsi="Arial" w:cs="Arial"/>
        <w:b/>
        <w:sz w:val="18"/>
        <w:szCs w:val="18"/>
        <w:lang w:eastAsia="x-none"/>
      </w:rPr>
    </w:pPr>
    <w:r w:rsidRPr="00794704">
      <w:rPr>
        <w:rFonts w:ascii="Arial" w:eastAsia="Times New Roman" w:hAnsi="Arial" w:cs="Arial"/>
        <w:b/>
        <w:bCs/>
        <w:sz w:val="18"/>
        <w:szCs w:val="18"/>
        <w:lang w:eastAsia="x-none"/>
      </w:rPr>
      <w:t>P</w:t>
    </w:r>
    <w:r w:rsidRPr="0086740C">
      <w:rPr>
        <w:rFonts w:ascii="Arial" w:eastAsia="Times New Roman" w:hAnsi="Arial" w:cs="Arial"/>
        <w:b/>
        <w:sz w:val="18"/>
        <w:szCs w:val="18"/>
        <w:lang w:eastAsia="x-none"/>
      </w:rPr>
      <w:t>ARTE III – TÍTULO I – CAPÍTULO II</w:t>
    </w:r>
    <w:r>
      <w:rPr>
        <w:rFonts w:ascii="Arial" w:eastAsia="Times New Roman" w:hAnsi="Arial" w:cs="Arial"/>
        <w:b/>
        <w:sz w:val="18"/>
        <w:szCs w:val="18"/>
        <w:lang w:val="es-ES" w:eastAsia="x-none"/>
      </w:rPr>
      <w:t xml:space="preserve">.                                                                                         PÁGINA </w:t>
    </w:r>
    <w:r w:rsidRPr="0086740C">
      <w:rPr>
        <w:rFonts w:ascii="Arial" w:eastAsia="Times New Roman" w:hAnsi="Arial" w:cs="Arial"/>
        <w:b/>
        <w:sz w:val="18"/>
        <w:szCs w:val="18"/>
        <w:lang w:eastAsia="x-none"/>
      </w:rPr>
      <w:t xml:space="preserve"> </w:t>
    </w:r>
  </w:p>
  <w:p w14:paraId="77B4C4B6" w14:textId="77777777" w:rsidR="00113226" w:rsidRPr="00172E23" w:rsidRDefault="00113226" w:rsidP="00113226">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r w:rsidRPr="00172E23">
      <w:rPr>
        <w:rFonts w:ascii="Arial" w:eastAsia="Times New Roman" w:hAnsi="Arial" w:cs="Arial"/>
        <w:b/>
        <w:sz w:val="18"/>
        <w:szCs w:val="18"/>
        <w:lang w:eastAsia="x-none"/>
      </w:rPr>
      <w:t xml:space="preserve">Circular Externa </w:t>
    </w:r>
    <w:r>
      <w:rPr>
        <w:rFonts w:ascii="Arial" w:eastAsia="Times New Roman" w:hAnsi="Arial" w:cs="Arial"/>
        <w:b/>
        <w:sz w:val="18"/>
        <w:szCs w:val="18"/>
        <w:lang w:val="es-CO" w:eastAsia="x-none"/>
      </w:rPr>
      <w:t>015</w:t>
    </w:r>
    <w:r>
      <w:rPr>
        <w:rFonts w:ascii="Arial" w:eastAsia="Times New Roman" w:hAnsi="Arial" w:cs="Arial"/>
        <w:b/>
        <w:sz w:val="18"/>
        <w:szCs w:val="18"/>
        <w:lang w:val="pt-BR" w:eastAsia="x-none"/>
      </w:rPr>
      <w:t xml:space="preserve"> de 2021</w:t>
    </w:r>
    <w:r w:rsidRPr="00172E23">
      <w:rPr>
        <w:rFonts w:ascii="Arial" w:eastAsia="Times New Roman" w:hAnsi="Arial" w:cs="Arial"/>
        <w:b/>
        <w:sz w:val="18"/>
        <w:szCs w:val="18"/>
        <w:lang w:eastAsia="x-none"/>
      </w:rPr>
      <w:tab/>
    </w:r>
    <w:r w:rsidRPr="00172E23">
      <w:rPr>
        <w:rFonts w:ascii="Arial" w:eastAsia="Times New Roman" w:hAnsi="Arial" w:cs="Arial"/>
        <w:b/>
        <w:sz w:val="18"/>
        <w:szCs w:val="18"/>
        <w:lang w:eastAsia="x-none"/>
      </w:rPr>
      <w:tab/>
    </w:r>
    <w:r>
      <w:rPr>
        <w:rFonts w:ascii="Arial" w:eastAsia="Times New Roman" w:hAnsi="Arial" w:cs="Arial"/>
        <w:b/>
        <w:sz w:val="18"/>
        <w:szCs w:val="18"/>
        <w:lang w:val="pt-BR" w:eastAsia="x-none"/>
      </w:rPr>
      <w:t>Agosto</w:t>
    </w:r>
    <w:r w:rsidRPr="00172E23">
      <w:rPr>
        <w:rFonts w:ascii="Arial" w:eastAsia="Times New Roman" w:hAnsi="Arial" w:cs="Arial"/>
        <w:b/>
        <w:sz w:val="18"/>
        <w:szCs w:val="18"/>
        <w:lang w:val="pt-BR" w:eastAsia="x-none"/>
      </w:rPr>
      <w:t xml:space="preserve"> de 2021</w:t>
    </w:r>
  </w:p>
  <w:p w14:paraId="6CEB79B8" w14:textId="77777777" w:rsidR="00113226" w:rsidRPr="00172E23" w:rsidRDefault="00113226" w:rsidP="00113226">
    <w:pPr>
      <w:pStyle w:val="Piedepgina"/>
      <w:tabs>
        <w:tab w:val="clear" w:pos="4419"/>
        <w:tab w:val="clear" w:pos="8838"/>
        <w:tab w:val="center" w:pos="4252"/>
        <w:tab w:val="right" w:pos="8504"/>
      </w:tabs>
      <w:spacing w:after="0" w:line="240" w:lineRule="auto"/>
      <w:rPr>
        <w:rFonts w:ascii="Arial" w:eastAsia="Times New Roman" w:hAnsi="Arial" w:cs="Arial"/>
        <w:b/>
        <w:sz w:val="18"/>
        <w:szCs w:val="18"/>
        <w:lang w:val="pt-BR" w:eastAsia="x-non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0D77" w14:textId="631F462B" w:rsidR="00E621CC" w:rsidRPr="00E621CC" w:rsidRDefault="00E621CC" w:rsidP="00E621CC">
    <w:pPr>
      <w:pStyle w:val="Piedepgina"/>
      <w:spacing w:after="0" w:line="240" w:lineRule="auto"/>
      <w:rPr>
        <w:rFonts w:ascii="Arial" w:hAnsi="Arial" w:cs="Arial"/>
        <w:b/>
        <w:sz w:val="18"/>
        <w:szCs w:val="18"/>
        <w:lang w:val="es-ES"/>
      </w:rPr>
    </w:pPr>
    <w:r w:rsidRPr="00B52686">
      <w:rPr>
        <w:rFonts w:ascii="Arial" w:hAnsi="Arial" w:cs="Arial"/>
        <w:b/>
        <w:sz w:val="18"/>
        <w:szCs w:val="18"/>
      </w:rPr>
      <w:t>PARTE III – TÍTULO I – CAPÍTULO II</w:t>
    </w:r>
    <w:r w:rsidRPr="00B52686">
      <w:rPr>
        <w:rFonts w:ascii="Arial" w:hAnsi="Arial" w:cs="Arial"/>
        <w:b/>
        <w:sz w:val="18"/>
        <w:szCs w:val="18"/>
      </w:rPr>
      <w:tab/>
    </w:r>
    <w:r w:rsidRPr="00B52686">
      <w:rPr>
        <w:rFonts w:ascii="Arial" w:hAnsi="Arial" w:cs="Arial"/>
        <w:b/>
        <w:sz w:val="18"/>
        <w:szCs w:val="18"/>
      </w:rPr>
      <w:tab/>
      <w:t xml:space="preserve">PÁGINA </w:t>
    </w:r>
    <w:r>
      <w:rPr>
        <w:rFonts w:ascii="Arial" w:hAnsi="Arial" w:cs="Arial"/>
        <w:b/>
        <w:sz w:val="18"/>
        <w:szCs w:val="18"/>
        <w:lang w:val="es-ES"/>
      </w:rPr>
      <w:t>7</w:t>
    </w:r>
  </w:p>
  <w:p w14:paraId="6F4EB118" w14:textId="6EFBB5A5" w:rsidR="004C1BAE" w:rsidRPr="00E621CC" w:rsidRDefault="00E621CC" w:rsidP="00E621CC">
    <w:pPr>
      <w:pStyle w:val="Piedepgina"/>
      <w:spacing w:after="0" w:line="240" w:lineRule="auto"/>
      <w:rPr>
        <w:rFonts w:ascii="Arial" w:hAnsi="Arial" w:cs="Arial"/>
        <w:b/>
        <w:sz w:val="18"/>
        <w:szCs w:val="18"/>
        <w:lang w:val="es-ES"/>
      </w:rPr>
    </w:pPr>
    <w:r w:rsidRPr="00B52686">
      <w:rPr>
        <w:rFonts w:ascii="Arial" w:hAnsi="Arial" w:cs="Arial"/>
        <w:b/>
        <w:sz w:val="18"/>
        <w:szCs w:val="18"/>
      </w:rPr>
      <w:t xml:space="preserve">CIRCULAR EXTERNA </w:t>
    </w:r>
    <w:r w:rsidR="00780E5B">
      <w:rPr>
        <w:rFonts w:ascii="Arial" w:hAnsi="Arial" w:cs="Arial"/>
        <w:b/>
        <w:sz w:val="18"/>
        <w:szCs w:val="18"/>
        <w:lang w:val="es-ES"/>
      </w:rPr>
      <w:t>005</w:t>
    </w:r>
    <w:r w:rsidRPr="00B52686">
      <w:rPr>
        <w:rFonts w:ascii="Arial" w:hAnsi="Arial" w:cs="Arial"/>
        <w:b/>
        <w:sz w:val="18"/>
        <w:szCs w:val="18"/>
      </w:rPr>
      <w:t xml:space="preserve">  de 202</w:t>
    </w:r>
    <w:r>
      <w:rPr>
        <w:rFonts w:ascii="Arial" w:hAnsi="Arial" w:cs="Arial"/>
        <w:b/>
        <w:sz w:val="18"/>
        <w:szCs w:val="18"/>
        <w:lang w:val="es-ES"/>
      </w:rPr>
      <w:t>2</w:t>
    </w:r>
    <w:r w:rsidRPr="00B52686">
      <w:rPr>
        <w:rFonts w:ascii="Arial" w:hAnsi="Arial" w:cs="Arial"/>
        <w:b/>
        <w:sz w:val="18"/>
        <w:szCs w:val="18"/>
      </w:rPr>
      <w:tab/>
    </w:r>
    <w:r w:rsidRPr="00B52686">
      <w:rPr>
        <w:rFonts w:ascii="Arial" w:hAnsi="Arial" w:cs="Arial"/>
        <w:b/>
        <w:sz w:val="18"/>
        <w:szCs w:val="18"/>
      </w:rPr>
      <w:tab/>
    </w:r>
    <w:r w:rsidR="00AB1EE8">
      <w:rPr>
        <w:rFonts w:ascii="Arial" w:hAnsi="Arial" w:cs="Arial"/>
        <w:b/>
        <w:sz w:val="18"/>
        <w:szCs w:val="18"/>
        <w:lang w:val="es-ES"/>
      </w:rPr>
      <w:t>Abril</w:t>
    </w:r>
    <w:r w:rsidRPr="00B52686">
      <w:rPr>
        <w:rFonts w:ascii="Arial" w:hAnsi="Arial" w:cs="Arial"/>
        <w:b/>
        <w:sz w:val="18"/>
        <w:szCs w:val="18"/>
      </w:rPr>
      <w:t xml:space="preserve"> de 202</w:t>
    </w:r>
    <w:r>
      <w:rPr>
        <w:rFonts w:ascii="Arial" w:hAnsi="Arial" w:cs="Arial"/>
        <w:b/>
        <w:sz w:val="18"/>
        <w:szCs w:val="18"/>
        <w:lang w:val="es-ES"/>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A70D" w14:textId="77777777" w:rsidR="000D5EF7" w:rsidRDefault="000D5EF7" w:rsidP="00755273">
      <w:pPr>
        <w:spacing w:after="0" w:line="240" w:lineRule="auto"/>
      </w:pPr>
      <w:r>
        <w:separator/>
      </w:r>
    </w:p>
  </w:footnote>
  <w:footnote w:type="continuationSeparator" w:id="0">
    <w:p w14:paraId="0E3702AC" w14:textId="77777777" w:rsidR="000D5EF7" w:rsidRDefault="000D5EF7" w:rsidP="00755273">
      <w:pPr>
        <w:spacing w:after="0" w:line="240" w:lineRule="auto"/>
      </w:pPr>
      <w:r>
        <w:continuationSeparator/>
      </w:r>
    </w:p>
  </w:footnote>
  <w:footnote w:type="continuationNotice" w:id="1">
    <w:p w14:paraId="747B3721" w14:textId="77777777" w:rsidR="000D5EF7" w:rsidRDefault="000D5E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AFB56" w14:textId="7506CEFD" w:rsidR="00757AE0" w:rsidRDefault="00757AE0" w:rsidP="00757AE0">
    <w:pPr>
      <w:pStyle w:val="Encabezado"/>
      <w:spacing w:after="0" w:line="240" w:lineRule="auto"/>
      <w:jc w:val="center"/>
      <w:rPr>
        <w:rFonts w:ascii="Arial" w:hAnsi="Arial" w:cs="Arial"/>
        <w:b/>
        <w:sz w:val="24"/>
        <w:szCs w:val="24"/>
      </w:rPr>
    </w:pPr>
    <w:r>
      <w:rPr>
        <w:rFonts w:ascii="Arial" w:hAnsi="Arial" w:cs="Arial"/>
        <w:b/>
        <w:sz w:val="24"/>
        <w:szCs w:val="24"/>
      </w:rPr>
      <w:t>SUPERINTENDENCIA FINANCIERA DE COLOMBIA</w:t>
    </w:r>
  </w:p>
  <w:p w14:paraId="213FAE22" w14:textId="77777777" w:rsidR="00757AE0" w:rsidRPr="00757AE0" w:rsidRDefault="00757AE0" w:rsidP="00757AE0">
    <w:pPr>
      <w:pStyle w:val="Encabezado"/>
      <w:spacing w:after="0" w:line="240" w:lineRule="auto"/>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55B8E"/>
    <w:multiLevelType w:val="multilevel"/>
    <w:tmpl w:val="5D4498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70F81F7D"/>
    <w:multiLevelType w:val="multilevel"/>
    <w:tmpl w:val="AD82E6E2"/>
    <w:lvl w:ilvl="0">
      <w:start w:val="7"/>
      <w:numFmt w:val="decimal"/>
      <w:suff w:val="space"/>
      <w:lvlText w:val="%1."/>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b/>
        <w:bCs/>
      </w:rPr>
    </w:lvl>
    <w:lvl w:ilvl="2">
      <w:start w:val="1"/>
      <w:numFmt w:val="decimal"/>
      <w:suff w:val="space"/>
      <w:lvlText w:val="%1.%2.%3"/>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bCs/>
      </w:rPr>
    </w:lvl>
    <w:lvl w:ilvl="6">
      <w:start w:val="1"/>
      <w:numFmt w:val="lowerLetter"/>
      <w:lvlRestart w:val="0"/>
      <w:lvlText w:val="%7"/>
      <w:lvlJc w:val="left"/>
      <w:rPr>
        <w:rFonts w:ascii="Arial" w:hAnsi="Arial" w:hint="default"/>
        <w:b/>
        <w:bCs w:val="0"/>
        <w:i w:val="0"/>
        <w:iCs w:val="0"/>
        <w:caps w:val="0"/>
        <w:smallCaps w:val="0"/>
        <w:strike w:val="0"/>
        <w:dstrike w:val="0"/>
        <w:noProof w:val="0"/>
        <w:vanish w:val="0"/>
        <w:color w:val="000000"/>
        <w:spacing w:val="0"/>
        <w:kern w:val="0"/>
        <w:position w:val="0"/>
        <w:sz w:val="16"/>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Restart w:val="0"/>
      <w:suff w:val="space"/>
      <w:lvlText w:val="%8"/>
      <w:lvlJc w:val="left"/>
      <w:pPr>
        <w:ind w:left="1021" w:hanging="17"/>
      </w:pPr>
      <w:rPr>
        <w:rFonts w:ascii="Arial" w:hAnsi="Arial" w:hint="default"/>
        <w:b/>
        <w:i w:val="0"/>
        <w:sz w:val="16"/>
      </w:rPr>
    </w:lvl>
    <w:lvl w:ilvl="8">
      <w:start w:val="1"/>
      <w:numFmt w:val="decimal"/>
      <w:lvlText w:val="%1.%2.%3.%4.%5.%6.%7.%8.%9"/>
      <w:lvlJc w:val="left"/>
      <w:pPr>
        <w:ind w:left="1868" w:hanging="1584"/>
      </w:pPr>
      <w:rPr>
        <w:rFonts w:hint="default"/>
      </w:rPr>
    </w:lvl>
  </w:abstractNum>
  <w:num w:numId="1" w16cid:durableId="693270623">
    <w:abstractNumId w:val="0"/>
  </w:num>
  <w:num w:numId="2" w16cid:durableId="165409569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6588715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350823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991382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2142335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633009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107820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108583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128927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078864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532156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5348027">
    <w:abstractNumId w:val="1"/>
  </w:num>
  <w:num w:numId="14" w16cid:durableId="116235165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4047177">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65848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935366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516365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717787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29363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7686159">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2FA"/>
    <w:rsid w:val="000274A8"/>
    <w:rsid w:val="0003097E"/>
    <w:rsid w:val="0003306B"/>
    <w:rsid w:val="00053F06"/>
    <w:rsid w:val="000570B4"/>
    <w:rsid w:val="0006474E"/>
    <w:rsid w:val="00096C2D"/>
    <w:rsid w:val="000A3198"/>
    <w:rsid w:val="000A746B"/>
    <w:rsid w:val="000A7B26"/>
    <w:rsid w:val="000B01D8"/>
    <w:rsid w:val="000B0949"/>
    <w:rsid w:val="000B7B66"/>
    <w:rsid w:val="000C3149"/>
    <w:rsid w:val="000D0363"/>
    <w:rsid w:val="000D5EF7"/>
    <w:rsid w:val="000F14B0"/>
    <w:rsid w:val="000F2F55"/>
    <w:rsid w:val="000F7ADB"/>
    <w:rsid w:val="00104B4A"/>
    <w:rsid w:val="00113226"/>
    <w:rsid w:val="00122BC5"/>
    <w:rsid w:val="00155F92"/>
    <w:rsid w:val="00164AF6"/>
    <w:rsid w:val="00170BAA"/>
    <w:rsid w:val="00186979"/>
    <w:rsid w:val="001930F3"/>
    <w:rsid w:val="001A2D49"/>
    <w:rsid w:val="001A6C11"/>
    <w:rsid w:val="001A7E79"/>
    <w:rsid w:val="001B1285"/>
    <w:rsid w:val="001B5D06"/>
    <w:rsid w:val="001B63DD"/>
    <w:rsid w:val="001E2035"/>
    <w:rsid w:val="00201840"/>
    <w:rsid w:val="00257996"/>
    <w:rsid w:val="00277FA7"/>
    <w:rsid w:val="0028373B"/>
    <w:rsid w:val="002A299F"/>
    <w:rsid w:val="002C02D1"/>
    <w:rsid w:val="002C0566"/>
    <w:rsid w:val="002C5B12"/>
    <w:rsid w:val="002E64A2"/>
    <w:rsid w:val="002E7C43"/>
    <w:rsid w:val="00305888"/>
    <w:rsid w:val="0031447E"/>
    <w:rsid w:val="003321F5"/>
    <w:rsid w:val="003471EE"/>
    <w:rsid w:val="00381239"/>
    <w:rsid w:val="00391643"/>
    <w:rsid w:val="003B2742"/>
    <w:rsid w:val="003B4241"/>
    <w:rsid w:val="003C368F"/>
    <w:rsid w:val="003C5DFB"/>
    <w:rsid w:val="003C6607"/>
    <w:rsid w:val="003D464E"/>
    <w:rsid w:val="003F798F"/>
    <w:rsid w:val="00454025"/>
    <w:rsid w:val="0046087C"/>
    <w:rsid w:val="00486E09"/>
    <w:rsid w:val="00492044"/>
    <w:rsid w:val="00492AE4"/>
    <w:rsid w:val="00492BCA"/>
    <w:rsid w:val="00496C65"/>
    <w:rsid w:val="00497A63"/>
    <w:rsid w:val="004B61BB"/>
    <w:rsid w:val="004B646F"/>
    <w:rsid w:val="004C1BAE"/>
    <w:rsid w:val="004D199C"/>
    <w:rsid w:val="005075B7"/>
    <w:rsid w:val="005309D6"/>
    <w:rsid w:val="00535BBF"/>
    <w:rsid w:val="00542B4A"/>
    <w:rsid w:val="0054468B"/>
    <w:rsid w:val="00560056"/>
    <w:rsid w:val="0059274B"/>
    <w:rsid w:val="005A6DA0"/>
    <w:rsid w:val="005C1EA9"/>
    <w:rsid w:val="005C262B"/>
    <w:rsid w:val="005C7121"/>
    <w:rsid w:val="005D6E93"/>
    <w:rsid w:val="00623F6E"/>
    <w:rsid w:val="00630C84"/>
    <w:rsid w:val="0066442E"/>
    <w:rsid w:val="00671F53"/>
    <w:rsid w:val="006747AE"/>
    <w:rsid w:val="0067495C"/>
    <w:rsid w:val="006921BD"/>
    <w:rsid w:val="006D05E5"/>
    <w:rsid w:val="00714830"/>
    <w:rsid w:val="00734D1B"/>
    <w:rsid w:val="007360DC"/>
    <w:rsid w:val="007454FB"/>
    <w:rsid w:val="00750C6E"/>
    <w:rsid w:val="00755273"/>
    <w:rsid w:val="00756DBF"/>
    <w:rsid w:val="00757AE0"/>
    <w:rsid w:val="0076137A"/>
    <w:rsid w:val="007777A9"/>
    <w:rsid w:val="00780E5B"/>
    <w:rsid w:val="007814E6"/>
    <w:rsid w:val="00786704"/>
    <w:rsid w:val="007C5139"/>
    <w:rsid w:val="007D5C0F"/>
    <w:rsid w:val="007E78B6"/>
    <w:rsid w:val="008004E2"/>
    <w:rsid w:val="00825665"/>
    <w:rsid w:val="008516DD"/>
    <w:rsid w:val="0086740C"/>
    <w:rsid w:val="00880F31"/>
    <w:rsid w:val="00885904"/>
    <w:rsid w:val="008A224C"/>
    <w:rsid w:val="008A6D66"/>
    <w:rsid w:val="008F1D22"/>
    <w:rsid w:val="008F22B2"/>
    <w:rsid w:val="009135FB"/>
    <w:rsid w:val="00920235"/>
    <w:rsid w:val="009527E8"/>
    <w:rsid w:val="00954EBF"/>
    <w:rsid w:val="00955DF6"/>
    <w:rsid w:val="00960F7F"/>
    <w:rsid w:val="009718C7"/>
    <w:rsid w:val="009742FA"/>
    <w:rsid w:val="009D67D5"/>
    <w:rsid w:val="009E19FD"/>
    <w:rsid w:val="009F09C0"/>
    <w:rsid w:val="00A008DB"/>
    <w:rsid w:val="00A05AEA"/>
    <w:rsid w:val="00A30D59"/>
    <w:rsid w:val="00A31DBB"/>
    <w:rsid w:val="00A34EAA"/>
    <w:rsid w:val="00A3622F"/>
    <w:rsid w:val="00A51B6A"/>
    <w:rsid w:val="00A61DE2"/>
    <w:rsid w:val="00A8329B"/>
    <w:rsid w:val="00A905D1"/>
    <w:rsid w:val="00AA4E50"/>
    <w:rsid w:val="00AA5B02"/>
    <w:rsid w:val="00AA737F"/>
    <w:rsid w:val="00AB1EE8"/>
    <w:rsid w:val="00AC0EC8"/>
    <w:rsid w:val="00AC7550"/>
    <w:rsid w:val="00AD30D8"/>
    <w:rsid w:val="00AD6BD1"/>
    <w:rsid w:val="00AF2E19"/>
    <w:rsid w:val="00B05453"/>
    <w:rsid w:val="00B12554"/>
    <w:rsid w:val="00B12558"/>
    <w:rsid w:val="00B13852"/>
    <w:rsid w:val="00B20197"/>
    <w:rsid w:val="00B22B1F"/>
    <w:rsid w:val="00B23D79"/>
    <w:rsid w:val="00B316DE"/>
    <w:rsid w:val="00B43D32"/>
    <w:rsid w:val="00B44743"/>
    <w:rsid w:val="00B511B2"/>
    <w:rsid w:val="00B52686"/>
    <w:rsid w:val="00B53854"/>
    <w:rsid w:val="00B632C6"/>
    <w:rsid w:val="00B679AD"/>
    <w:rsid w:val="00B73773"/>
    <w:rsid w:val="00B7478D"/>
    <w:rsid w:val="00BA0C5D"/>
    <w:rsid w:val="00BA71A9"/>
    <w:rsid w:val="00BD7A76"/>
    <w:rsid w:val="00BE1F99"/>
    <w:rsid w:val="00BE249E"/>
    <w:rsid w:val="00BE2814"/>
    <w:rsid w:val="00BE6CFD"/>
    <w:rsid w:val="00BE74B0"/>
    <w:rsid w:val="00C05B52"/>
    <w:rsid w:val="00C25F07"/>
    <w:rsid w:val="00C31DF2"/>
    <w:rsid w:val="00C5553C"/>
    <w:rsid w:val="00C720EA"/>
    <w:rsid w:val="00C957B2"/>
    <w:rsid w:val="00CB43B9"/>
    <w:rsid w:val="00CC5EBF"/>
    <w:rsid w:val="00CF41FE"/>
    <w:rsid w:val="00D038D9"/>
    <w:rsid w:val="00D11B54"/>
    <w:rsid w:val="00D172FD"/>
    <w:rsid w:val="00D45B64"/>
    <w:rsid w:val="00D45EEC"/>
    <w:rsid w:val="00D60D97"/>
    <w:rsid w:val="00D74CF7"/>
    <w:rsid w:val="00D75866"/>
    <w:rsid w:val="00D80081"/>
    <w:rsid w:val="00D92507"/>
    <w:rsid w:val="00DA17CA"/>
    <w:rsid w:val="00DA5689"/>
    <w:rsid w:val="00DA767E"/>
    <w:rsid w:val="00DB23E0"/>
    <w:rsid w:val="00DB5306"/>
    <w:rsid w:val="00DD0F90"/>
    <w:rsid w:val="00DF0E01"/>
    <w:rsid w:val="00DF3A6B"/>
    <w:rsid w:val="00DF3C93"/>
    <w:rsid w:val="00DF3C9A"/>
    <w:rsid w:val="00E02ED1"/>
    <w:rsid w:val="00E368D3"/>
    <w:rsid w:val="00E36DB4"/>
    <w:rsid w:val="00E46469"/>
    <w:rsid w:val="00E52A3F"/>
    <w:rsid w:val="00E57B2D"/>
    <w:rsid w:val="00E621CC"/>
    <w:rsid w:val="00E677BB"/>
    <w:rsid w:val="00E9234C"/>
    <w:rsid w:val="00E943CC"/>
    <w:rsid w:val="00EB3600"/>
    <w:rsid w:val="00EB51D6"/>
    <w:rsid w:val="00EC1790"/>
    <w:rsid w:val="00EF11A9"/>
    <w:rsid w:val="00F0321A"/>
    <w:rsid w:val="00F311CE"/>
    <w:rsid w:val="00F41ACB"/>
    <w:rsid w:val="00F5226B"/>
    <w:rsid w:val="00F57A11"/>
    <w:rsid w:val="00F60A54"/>
    <w:rsid w:val="00F964B8"/>
    <w:rsid w:val="00F971C3"/>
    <w:rsid w:val="00FC24D1"/>
    <w:rsid w:val="00FC47B4"/>
    <w:rsid w:val="00FE7D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628C9"/>
  <w15:chartTrackingRefBased/>
  <w15:docId w15:val="{DB3BA933-8F0F-478C-AD99-29EE867D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42FA"/>
    <w:pPr>
      <w:spacing w:after="200" w:line="276" w:lineRule="auto"/>
    </w:pPr>
    <w:rPr>
      <w:rFonts w:eastAsia="Cambria"/>
      <w:sz w:val="22"/>
      <w:szCs w:val="22"/>
      <w:lang w:eastAsia="en-US"/>
    </w:rPr>
  </w:style>
  <w:style w:type="paragraph" w:styleId="Ttulo1">
    <w:name w:val="heading 1"/>
    <w:basedOn w:val="Normal"/>
    <w:next w:val="Normal"/>
    <w:link w:val="Ttulo1Car"/>
    <w:uiPriority w:val="9"/>
    <w:qFormat/>
    <w:rsid w:val="00AC0EC8"/>
    <w:pPr>
      <w:keepNext/>
      <w:spacing w:after="0"/>
      <w:jc w:val="both"/>
      <w:outlineLvl w:val="0"/>
    </w:pPr>
    <w:rPr>
      <w:rFonts w:ascii="Arial" w:eastAsia="Times New Roman" w:hAnsi="Arial"/>
      <w:b/>
      <w:bCs/>
      <w:caps/>
      <w:kern w:val="32"/>
      <w:sz w:val="16"/>
      <w:szCs w:val="32"/>
      <w:lang w:val="x-none"/>
    </w:rPr>
  </w:style>
  <w:style w:type="paragraph" w:styleId="Ttulo2">
    <w:name w:val="heading 2"/>
    <w:basedOn w:val="Normal"/>
    <w:next w:val="Normal"/>
    <w:link w:val="Ttulo2Car"/>
    <w:uiPriority w:val="9"/>
    <w:qFormat/>
    <w:rsid w:val="00A05AEA"/>
    <w:pPr>
      <w:keepNext/>
      <w:spacing w:after="0"/>
      <w:jc w:val="both"/>
      <w:outlineLvl w:val="1"/>
    </w:pPr>
    <w:rPr>
      <w:rFonts w:ascii="Arial" w:eastAsia="Times New Roman" w:hAnsi="Arial"/>
      <w:b/>
      <w:bCs/>
      <w:iCs/>
      <w:sz w:val="16"/>
      <w:szCs w:val="28"/>
      <w:lang w:val="x-none"/>
    </w:rPr>
  </w:style>
  <w:style w:type="paragraph" w:styleId="Ttulo3">
    <w:name w:val="heading 3"/>
    <w:basedOn w:val="Normal"/>
    <w:next w:val="Normal"/>
    <w:link w:val="Ttulo3Car"/>
    <w:uiPriority w:val="9"/>
    <w:unhideWhenUsed/>
    <w:qFormat/>
    <w:rsid w:val="004B61BB"/>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B61BB"/>
    <w:pPr>
      <w:keepNext/>
      <w:spacing w:before="240" w:after="60"/>
      <w:outlineLvl w:val="3"/>
    </w:pPr>
    <w:rPr>
      <w:rFonts w:ascii="Calibri" w:eastAsia="Times New Roman" w:hAnsi="Calibri"/>
      <w:b/>
      <w:bCs/>
      <w:sz w:val="28"/>
      <w:szCs w:val="28"/>
    </w:rPr>
  </w:style>
  <w:style w:type="paragraph" w:styleId="Ttulo5">
    <w:name w:val="heading 5"/>
    <w:basedOn w:val="Normal"/>
    <w:next w:val="Normal"/>
    <w:link w:val="Ttulo5Car"/>
    <w:uiPriority w:val="9"/>
    <w:unhideWhenUsed/>
    <w:qFormat/>
    <w:rsid w:val="004B61BB"/>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ar"/>
    <w:uiPriority w:val="9"/>
    <w:unhideWhenUsed/>
    <w:qFormat/>
    <w:rsid w:val="004B61BB"/>
    <w:pPr>
      <w:spacing w:before="240" w:after="60"/>
      <w:outlineLvl w:val="5"/>
    </w:pPr>
    <w:rPr>
      <w:rFonts w:ascii="Calibri" w:eastAsia="Times New Roman" w:hAnsi="Calibri"/>
      <w:b/>
      <w:bCs/>
    </w:rPr>
  </w:style>
  <w:style w:type="paragraph" w:styleId="Ttulo7">
    <w:name w:val="heading 7"/>
    <w:basedOn w:val="Normal"/>
    <w:next w:val="Normal"/>
    <w:link w:val="Ttulo7Car"/>
    <w:uiPriority w:val="9"/>
    <w:unhideWhenUsed/>
    <w:qFormat/>
    <w:rsid w:val="004B61BB"/>
    <w:pPr>
      <w:spacing w:before="240" w:after="60"/>
      <w:outlineLvl w:val="6"/>
    </w:pPr>
    <w:rPr>
      <w:rFonts w:ascii="Calibri" w:eastAsia="Times New Roman" w:hAnsi="Calibri"/>
      <w:sz w:val="24"/>
      <w:szCs w:val="24"/>
    </w:rPr>
  </w:style>
  <w:style w:type="paragraph" w:styleId="Ttulo8">
    <w:name w:val="heading 8"/>
    <w:basedOn w:val="Normal"/>
    <w:next w:val="Normal"/>
    <w:link w:val="Ttulo8Car"/>
    <w:uiPriority w:val="9"/>
    <w:unhideWhenUsed/>
    <w:qFormat/>
    <w:rsid w:val="004B61BB"/>
    <w:pPr>
      <w:spacing w:before="240" w:after="60"/>
      <w:outlineLvl w:val="7"/>
    </w:pPr>
    <w:rPr>
      <w:rFonts w:ascii="Calibri" w:eastAsia="Times New Roman" w:hAnsi="Calibri"/>
      <w:i/>
      <w:iCs/>
      <w:sz w:val="24"/>
      <w:szCs w:val="24"/>
    </w:rPr>
  </w:style>
  <w:style w:type="paragraph" w:styleId="Ttulo9">
    <w:name w:val="heading 9"/>
    <w:basedOn w:val="Normal"/>
    <w:next w:val="Normal"/>
    <w:link w:val="Ttulo9Car"/>
    <w:uiPriority w:val="9"/>
    <w:unhideWhenUsed/>
    <w:qFormat/>
    <w:rsid w:val="004B61BB"/>
    <w:pPr>
      <w:keepNext/>
      <w:keepLines/>
      <w:spacing w:before="40" w:after="0" w:line="240" w:lineRule="auto"/>
      <w:ind w:left="1868" w:hanging="1584"/>
      <w:jc w:val="both"/>
      <w:outlineLvl w:val="8"/>
    </w:pPr>
    <w:rPr>
      <w:rFonts w:ascii="Calibri Light" w:eastAsia="Times New Roman" w:hAnsi="Calibri Light"/>
      <w:i/>
      <w:iCs/>
      <w:color w:val="272727"/>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8329B"/>
    <w:pPr>
      <w:spacing w:after="0" w:line="240" w:lineRule="auto"/>
    </w:pPr>
    <w:rPr>
      <w:rFonts w:ascii="Lucida Grande" w:hAnsi="Lucida Grande"/>
      <w:sz w:val="18"/>
      <w:szCs w:val="18"/>
    </w:rPr>
  </w:style>
  <w:style w:type="character" w:customStyle="1" w:styleId="TextodegloboCar">
    <w:name w:val="Texto de globo Car"/>
    <w:link w:val="Textodeglobo"/>
    <w:uiPriority w:val="99"/>
    <w:semiHidden/>
    <w:rsid w:val="00A8329B"/>
    <w:rPr>
      <w:rFonts w:ascii="Lucida Grande" w:eastAsia="Cambria" w:hAnsi="Lucida Grande" w:cs="Lucida Grande"/>
      <w:sz w:val="18"/>
      <w:szCs w:val="18"/>
      <w:lang w:val="es-CO" w:eastAsia="en-US"/>
    </w:rPr>
  </w:style>
  <w:style w:type="character" w:styleId="Refdecomentario">
    <w:name w:val="annotation reference"/>
    <w:uiPriority w:val="99"/>
    <w:semiHidden/>
    <w:unhideWhenUsed/>
    <w:rsid w:val="00DB23E0"/>
    <w:rPr>
      <w:sz w:val="16"/>
      <w:szCs w:val="16"/>
    </w:rPr>
  </w:style>
  <w:style w:type="paragraph" w:styleId="Textocomentario">
    <w:name w:val="annotation text"/>
    <w:basedOn w:val="Normal"/>
    <w:link w:val="TextocomentarioCar"/>
    <w:uiPriority w:val="99"/>
    <w:semiHidden/>
    <w:unhideWhenUsed/>
    <w:rsid w:val="00DB23E0"/>
    <w:pPr>
      <w:spacing w:line="240" w:lineRule="auto"/>
    </w:pPr>
    <w:rPr>
      <w:rFonts w:ascii="Calibri" w:eastAsia="Calibri" w:hAnsi="Calibri"/>
      <w:sz w:val="20"/>
      <w:szCs w:val="20"/>
    </w:rPr>
  </w:style>
  <w:style w:type="character" w:customStyle="1" w:styleId="TextocomentarioCar">
    <w:name w:val="Texto comentario Car"/>
    <w:link w:val="Textocomentario"/>
    <w:uiPriority w:val="99"/>
    <w:semiHidden/>
    <w:rsid w:val="00DB23E0"/>
    <w:rPr>
      <w:rFonts w:ascii="Calibri" w:eastAsia="Calibri" w:hAnsi="Calibri"/>
      <w:lang w:val="es-CO" w:eastAsia="en-US"/>
    </w:rPr>
  </w:style>
  <w:style w:type="paragraph" w:styleId="Textonotapie">
    <w:name w:val="footnote text"/>
    <w:basedOn w:val="Normal"/>
    <w:link w:val="TextonotapieCar"/>
    <w:semiHidden/>
    <w:rsid w:val="00755273"/>
    <w:pPr>
      <w:spacing w:after="0" w:line="240" w:lineRule="auto"/>
    </w:pPr>
    <w:rPr>
      <w:rFonts w:ascii="Times New Roman" w:eastAsia="Times New Roman" w:hAnsi="Times New Roman"/>
      <w:sz w:val="20"/>
      <w:szCs w:val="20"/>
      <w:lang w:val="es-ES" w:eastAsia="x-none"/>
    </w:rPr>
  </w:style>
  <w:style w:type="character" w:customStyle="1" w:styleId="TextonotapieCar">
    <w:name w:val="Texto nota pie Car"/>
    <w:link w:val="Textonotapie"/>
    <w:semiHidden/>
    <w:rsid w:val="00755273"/>
    <w:rPr>
      <w:rFonts w:ascii="Times New Roman" w:eastAsia="Times New Roman" w:hAnsi="Times New Roman"/>
      <w:lang w:val="es-ES"/>
    </w:rPr>
  </w:style>
  <w:style w:type="character" w:styleId="Hipervnculo">
    <w:name w:val="Hyperlink"/>
    <w:uiPriority w:val="99"/>
    <w:rsid w:val="00755273"/>
    <w:rPr>
      <w:color w:val="0000FF"/>
      <w:u w:val="single"/>
    </w:rPr>
  </w:style>
  <w:style w:type="character" w:styleId="Refdenotaalpie">
    <w:name w:val="footnote reference"/>
    <w:semiHidden/>
    <w:rsid w:val="00755273"/>
    <w:rPr>
      <w:rFonts w:cs="Times New Roman"/>
      <w:vertAlign w:val="superscript"/>
    </w:rPr>
  </w:style>
  <w:style w:type="paragraph" w:customStyle="1" w:styleId="Prrafodelista1">
    <w:name w:val="Párrafo de lista1"/>
    <w:basedOn w:val="Normal"/>
    <w:rsid w:val="00755273"/>
    <w:pPr>
      <w:spacing w:after="0" w:line="240" w:lineRule="auto"/>
      <w:ind w:left="720"/>
      <w:contextualSpacing/>
    </w:pPr>
    <w:rPr>
      <w:rFonts w:ascii="Times New Roman" w:eastAsia="Times New Roman" w:hAnsi="Times New Roman"/>
      <w:sz w:val="20"/>
      <w:szCs w:val="20"/>
      <w:lang w:val="es-ES_tradnl" w:eastAsia="es-ES"/>
    </w:rPr>
  </w:style>
  <w:style w:type="paragraph" w:customStyle="1" w:styleId="Sombreadovistoso-nfasis31">
    <w:name w:val="Sombreado vistoso - Énfasis 31"/>
    <w:basedOn w:val="Normal"/>
    <w:uiPriority w:val="34"/>
    <w:qFormat/>
    <w:rsid w:val="00C720EA"/>
    <w:pPr>
      <w:ind w:left="720"/>
      <w:contextualSpacing/>
    </w:pPr>
    <w:rPr>
      <w:rFonts w:ascii="Calibri" w:eastAsia="Calibri" w:hAnsi="Calibri"/>
    </w:rPr>
  </w:style>
  <w:style w:type="paragraph" w:styleId="Asuntodelcomentario">
    <w:name w:val="annotation subject"/>
    <w:basedOn w:val="Textocomentario"/>
    <w:next w:val="Textocomentario"/>
    <w:link w:val="AsuntodelcomentarioCar"/>
    <w:uiPriority w:val="99"/>
    <w:semiHidden/>
    <w:unhideWhenUsed/>
    <w:rsid w:val="00DF0E01"/>
    <w:pPr>
      <w:spacing w:line="276" w:lineRule="auto"/>
    </w:pPr>
    <w:rPr>
      <w:rFonts w:eastAsia="Cambria"/>
      <w:b/>
      <w:bCs/>
    </w:rPr>
  </w:style>
  <w:style w:type="character" w:customStyle="1" w:styleId="AsuntodelcomentarioCar">
    <w:name w:val="Asunto del comentario Car"/>
    <w:link w:val="Asuntodelcomentario"/>
    <w:uiPriority w:val="99"/>
    <w:semiHidden/>
    <w:rsid w:val="00DF0E01"/>
    <w:rPr>
      <w:rFonts w:ascii="Calibri" w:eastAsia="Cambria" w:hAnsi="Calibri"/>
      <w:b/>
      <w:bCs/>
      <w:lang w:val="es-CO" w:eastAsia="en-US"/>
    </w:rPr>
  </w:style>
  <w:style w:type="character" w:customStyle="1" w:styleId="Ttulo1Car">
    <w:name w:val="Título 1 Car"/>
    <w:link w:val="Ttulo1"/>
    <w:uiPriority w:val="9"/>
    <w:rsid w:val="00AC0EC8"/>
    <w:rPr>
      <w:rFonts w:ascii="Arial" w:eastAsia="Times New Roman" w:hAnsi="Arial" w:cs="Times New Roman"/>
      <w:b/>
      <w:bCs/>
      <w:caps/>
      <w:kern w:val="32"/>
      <w:sz w:val="16"/>
      <w:szCs w:val="32"/>
      <w:lang w:eastAsia="en-US"/>
    </w:rPr>
  </w:style>
  <w:style w:type="character" w:customStyle="1" w:styleId="Ttulo2Car">
    <w:name w:val="Título 2 Car"/>
    <w:link w:val="Ttulo2"/>
    <w:uiPriority w:val="9"/>
    <w:rsid w:val="00A05AEA"/>
    <w:rPr>
      <w:rFonts w:ascii="Arial" w:eastAsia="Times New Roman" w:hAnsi="Arial" w:cs="Times New Roman"/>
      <w:b/>
      <w:bCs/>
      <w:iCs/>
      <w:sz w:val="16"/>
      <w:szCs w:val="28"/>
      <w:lang w:eastAsia="en-US"/>
    </w:rPr>
  </w:style>
  <w:style w:type="paragraph" w:styleId="Encabezado">
    <w:name w:val="header"/>
    <w:basedOn w:val="Normal"/>
    <w:link w:val="EncabezadoCar"/>
    <w:uiPriority w:val="99"/>
    <w:unhideWhenUsed/>
    <w:rsid w:val="000D0363"/>
    <w:pPr>
      <w:tabs>
        <w:tab w:val="center" w:pos="4419"/>
        <w:tab w:val="right" w:pos="8838"/>
      </w:tabs>
    </w:pPr>
    <w:rPr>
      <w:lang w:val="x-none"/>
    </w:rPr>
  </w:style>
  <w:style w:type="character" w:customStyle="1" w:styleId="EncabezadoCar">
    <w:name w:val="Encabezado Car"/>
    <w:link w:val="Encabezado"/>
    <w:uiPriority w:val="99"/>
    <w:rsid w:val="000D0363"/>
    <w:rPr>
      <w:rFonts w:eastAsia="Cambria"/>
      <w:sz w:val="22"/>
      <w:szCs w:val="22"/>
      <w:lang w:eastAsia="en-US"/>
    </w:rPr>
  </w:style>
  <w:style w:type="paragraph" w:styleId="Piedepgina">
    <w:name w:val="footer"/>
    <w:basedOn w:val="Normal"/>
    <w:link w:val="PiedepginaCar"/>
    <w:uiPriority w:val="99"/>
    <w:unhideWhenUsed/>
    <w:rsid w:val="000D0363"/>
    <w:pPr>
      <w:tabs>
        <w:tab w:val="center" w:pos="4419"/>
        <w:tab w:val="right" w:pos="8838"/>
      </w:tabs>
    </w:pPr>
    <w:rPr>
      <w:lang w:val="x-none"/>
    </w:rPr>
  </w:style>
  <w:style w:type="character" w:customStyle="1" w:styleId="PiedepginaCar">
    <w:name w:val="Pie de página Car"/>
    <w:link w:val="Piedepgina"/>
    <w:uiPriority w:val="99"/>
    <w:rsid w:val="000D0363"/>
    <w:rPr>
      <w:rFonts w:eastAsia="Cambria"/>
      <w:sz w:val="22"/>
      <w:szCs w:val="22"/>
      <w:lang w:eastAsia="en-US"/>
    </w:rPr>
  </w:style>
  <w:style w:type="paragraph" w:customStyle="1" w:styleId="Listamedia2-nfasis21">
    <w:name w:val="Lista media 2 - Énfasis 21"/>
    <w:hidden/>
    <w:uiPriority w:val="71"/>
    <w:rsid w:val="005D6E93"/>
    <w:rPr>
      <w:rFonts w:eastAsia="Cambria"/>
      <w:sz w:val="22"/>
      <w:szCs w:val="22"/>
      <w:lang w:eastAsia="en-US"/>
    </w:rPr>
  </w:style>
  <w:style w:type="paragraph" w:customStyle="1" w:styleId="TtulodeTDC">
    <w:name w:val="Título de TDC"/>
    <w:basedOn w:val="Ttulo1"/>
    <w:next w:val="Normal"/>
    <w:uiPriority w:val="39"/>
    <w:semiHidden/>
    <w:unhideWhenUsed/>
    <w:qFormat/>
    <w:rsid w:val="00AA5B02"/>
    <w:pPr>
      <w:keepLines/>
      <w:spacing w:before="480"/>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AA5B02"/>
    <w:pPr>
      <w:spacing w:before="240" w:after="120"/>
    </w:pPr>
    <w:rPr>
      <w:rFonts w:ascii="Arial" w:hAnsi="Arial"/>
      <w:b/>
      <w:bCs/>
      <w:caps/>
      <w:sz w:val="16"/>
      <w:szCs w:val="20"/>
    </w:rPr>
  </w:style>
  <w:style w:type="paragraph" w:styleId="TDC2">
    <w:name w:val="toc 2"/>
    <w:basedOn w:val="Normal"/>
    <w:next w:val="Normal"/>
    <w:autoRedefine/>
    <w:uiPriority w:val="39"/>
    <w:unhideWhenUsed/>
    <w:rsid w:val="00AA5B02"/>
    <w:pPr>
      <w:spacing w:after="0"/>
      <w:ind w:left="159"/>
      <w:jc w:val="both"/>
    </w:pPr>
    <w:rPr>
      <w:rFonts w:ascii="Arial" w:hAnsi="Arial"/>
      <w:iCs/>
      <w:sz w:val="16"/>
      <w:szCs w:val="20"/>
    </w:rPr>
  </w:style>
  <w:style w:type="paragraph" w:styleId="TDC3">
    <w:name w:val="toc 3"/>
    <w:basedOn w:val="Normal"/>
    <w:next w:val="Normal"/>
    <w:autoRedefine/>
    <w:uiPriority w:val="39"/>
    <w:unhideWhenUsed/>
    <w:rsid w:val="00AA5B02"/>
    <w:pPr>
      <w:spacing w:after="0"/>
      <w:ind w:left="440"/>
    </w:pPr>
    <w:rPr>
      <w:rFonts w:ascii="Calibri" w:hAnsi="Calibri"/>
      <w:sz w:val="20"/>
      <w:szCs w:val="20"/>
    </w:rPr>
  </w:style>
  <w:style w:type="paragraph" w:styleId="TDC4">
    <w:name w:val="toc 4"/>
    <w:basedOn w:val="Normal"/>
    <w:next w:val="Normal"/>
    <w:autoRedefine/>
    <w:uiPriority w:val="39"/>
    <w:unhideWhenUsed/>
    <w:rsid w:val="00AA5B02"/>
    <w:pPr>
      <w:spacing w:after="0"/>
      <w:ind w:left="660"/>
    </w:pPr>
    <w:rPr>
      <w:rFonts w:ascii="Calibri" w:hAnsi="Calibri"/>
      <w:sz w:val="20"/>
      <w:szCs w:val="20"/>
    </w:rPr>
  </w:style>
  <w:style w:type="paragraph" w:styleId="TDC5">
    <w:name w:val="toc 5"/>
    <w:basedOn w:val="Normal"/>
    <w:next w:val="Normal"/>
    <w:autoRedefine/>
    <w:uiPriority w:val="39"/>
    <w:unhideWhenUsed/>
    <w:rsid w:val="00AA5B02"/>
    <w:pPr>
      <w:spacing w:after="0"/>
      <w:ind w:left="880"/>
    </w:pPr>
    <w:rPr>
      <w:rFonts w:ascii="Calibri" w:hAnsi="Calibri"/>
      <w:sz w:val="20"/>
      <w:szCs w:val="20"/>
    </w:rPr>
  </w:style>
  <w:style w:type="paragraph" w:styleId="TDC6">
    <w:name w:val="toc 6"/>
    <w:basedOn w:val="Normal"/>
    <w:next w:val="Normal"/>
    <w:autoRedefine/>
    <w:uiPriority w:val="39"/>
    <w:unhideWhenUsed/>
    <w:rsid w:val="00AA5B02"/>
    <w:pPr>
      <w:spacing w:after="0"/>
      <w:ind w:left="1100"/>
    </w:pPr>
    <w:rPr>
      <w:rFonts w:ascii="Calibri" w:hAnsi="Calibri"/>
      <w:sz w:val="20"/>
      <w:szCs w:val="20"/>
    </w:rPr>
  </w:style>
  <w:style w:type="paragraph" w:styleId="TDC7">
    <w:name w:val="toc 7"/>
    <w:basedOn w:val="Normal"/>
    <w:next w:val="Normal"/>
    <w:autoRedefine/>
    <w:uiPriority w:val="39"/>
    <w:unhideWhenUsed/>
    <w:rsid w:val="00AA5B02"/>
    <w:pPr>
      <w:spacing w:after="0"/>
      <w:ind w:left="1320"/>
    </w:pPr>
    <w:rPr>
      <w:rFonts w:ascii="Calibri" w:hAnsi="Calibri"/>
      <w:sz w:val="20"/>
      <w:szCs w:val="20"/>
    </w:rPr>
  </w:style>
  <w:style w:type="paragraph" w:styleId="TDC8">
    <w:name w:val="toc 8"/>
    <w:basedOn w:val="Normal"/>
    <w:next w:val="Normal"/>
    <w:autoRedefine/>
    <w:uiPriority w:val="39"/>
    <w:unhideWhenUsed/>
    <w:rsid w:val="00AA5B02"/>
    <w:pPr>
      <w:spacing w:after="0"/>
      <w:ind w:left="1540"/>
    </w:pPr>
    <w:rPr>
      <w:rFonts w:ascii="Calibri" w:hAnsi="Calibri"/>
      <w:sz w:val="20"/>
      <w:szCs w:val="20"/>
    </w:rPr>
  </w:style>
  <w:style w:type="paragraph" w:styleId="TDC9">
    <w:name w:val="toc 9"/>
    <w:basedOn w:val="Normal"/>
    <w:next w:val="Normal"/>
    <w:autoRedefine/>
    <w:uiPriority w:val="39"/>
    <w:unhideWhenUsed/>
    <w:rsid w:val="00AA5B02"/>
    <w:pPr>
      <w:spacing w:after="0"/>
      <w:ind w:left="1760"/>
    </w:pPr>
    <w:rPr>
      <w:rFonts w:ascii="Calibri" w:hAnsi="Calibri"/>
      <w:sz w:val="20"/>
      <w:szCs w:val="20"/>
    </w:rPr>
  </w:style>
  <w:style w:type="paragraph" w:styleId="Prrafodelista">
    <w:name w:val="List Paragraph"/>
    <w:basedOn w:val="Normal"/>
    <w:uiPriority w:val="34"/>
    <w:qFormat/>
    <w:rsid w:val="0086740C"/>
    <w:pPr>
      <w:spacing w:after="0" w:line="240" w:lineRule="auto"/>
      <w:ind w:left="708"/>
    </w:pPr>
    <w:rPr>
      <w:rFonts w:ascii="Arial" w:eastAsia="Times New Roman" w:hAnsi="Arial"/>
      <w:sz w:val="24"/>
      <w:szCs w:val="24"/>
      <w:lang w:val="es-ES" w:eastAsia="es-ES"/>
    </w:rPr>
  </w:style>
  <w:style w:type="character" w:customStyle="1" w:styleId="Ttulo3Car">
    <w:name w:val="Título 3 Car"/>
    <w:link w:val="Ttulo3"/>
    <w:uiPriority w:val="9"/>
    <w:semiHidden/>
    <w:rsid w:val="004B61BB"/>
    <w:rPr>
      <w:rFonts w:ascii="Calibri Light" w:eastAsia="Times New Roman" w:hAnsi="Calibri Light" w:cs="Times New Roman"/>
      <w:b/>
      <w:bCs/>
      <w:sz w:val="26"/>
      <w:szCs w:val="26"/>
      <w:lang w:eastAsia="en-US"/>
    </w:rPr>
  </w:style>
  <w:style w:type="character" w:customStyle="1" w:styleId="Ttulo4Car">
    <w:name w:val="Título 4 Car"/>
    <w:link w:val="Ttulo4"/>
    <w:uiPriority w:val="9"/>
    <w:semiHidden/>
    <w:rsid w:val="004B61BB"/>
    <w:rPr>
      <w:rFonts w:ascii="Calibri" w:eastAsia="Times New Roman" w:hAnsi="Calibri" w:cs="Times New Roman"/>
      <w:b/>
      <w:bCs/>
      <w:sz w:val="28"/>
      <w:szCs w:val="28"/>
      <w:lang w:eastAsia="en-US"/>
    </w:rPr>
  </w:style>
  <w:style w:type="character" w:customStyle="1" w:styleId="Ttulo5Car">
    <w:name w:val="Título 5 Car"/>
    <w:link w:val="Ttulo5"/>
    <w:uiPriority w:val="9"/>
    <w:semiHidden/>
    <w:rsid w:val="004B61BB"/>
    <w:rPr>
      <w:rFonts w:ascii="Calibri" w:eastAsia="Times New Roman" w:hAnsi="Calibri" w:cs="Times New Roman"/>
      <w:b/>
      <w:bCs/>
      <w:i/>
      <w:iCs/>
      <w:sz w:val="26"/>
      <w:szCs w:val="26"/>
      <w:lang w:eastAsia="en-US"/>
    </w:rPr>
  </w:style>
  <w:style w:type="character" w:customStyle="1" w:styleId="Ttulo6Car">
    <w:name w:val="Título 6 Car"/>
    <w:link w:val="Ttulo6"/>
    <w:uiPriority w:val="9"/>
    <w:semiHidden/>
    <w:rsid w:val="004B61BB"/>
    <w:rPr>
      <w:rFonts w:ascii="Calibri" w:eastAsia="Times New Roman" w:hAnsi="Calibri" w:cs="Times New Roman"/>
      <w:b/>
      <w:bCs/>
      <w:sz w:val="22"/>
      <w:szCs w:val="22"/>
      <w:lang w:eastAsia="en-US"/>
    </w:rPr>
  </w:style>
  <w:style w:type="character" w:customStyle="1" w:styleId="Ttulo7Car">
    <w:name w:val="Título 7 Car"/>
    <w:link w:val="Ttulo7"/>
    <w:uiPriority w:val="9"/>
    <w:rsid w:val="004B61BB"/>
    <w:rPr>
      <w:rFonts w:ascii="Calibri" w:eastAsia="Times New Roman" w:hAnsi="Calibri" w:cs="Times New Roman"/>
      <w:sz w:val="24"/>
      <w:szCs w:val="24"/>
      <w:lang w:eastAsia="en-US"/>
    </w:rPr>
  </w:style>
  <w:style w:type="character" w:customStyle="1" w:styleId="Ttulo8Car">
    <w:name w:val="Título 8 Car"/>
    <w:link w:val="Ttulo8"/>
    <w:uiPriority w:val="9"/>
    <w:rsid w:val="004B61BB"/>
    <w:rPr>
      <w:rFonts w:ascii="Calibri" w:eastAsia="Times New Roman" w:hAnsi="Calibri" w:cs="Times New Roman"/>
      <w:i/>
      <w:iCs/>
      <w:sz w:val="24"/>
      <w:szCs w:val="24"/>
      <w:lang w:eastAsia="en-US"/>
    </w:rPr>
  </w:style>
  <w:style w:type="character" w:customStyle="1" w:styleId="Ttulo9Car">
    <w:name w:val="Título 9 Car"/>
    <w:link w:val="Ttulo9"/>
    <w:uiPriority w:val="9"/>
    <w:rsid w:val="004B61BB"/>
    <w:rPr>
      <w:rFonts w:ascii="Calibri Light" w:eastAsia="Times New Roman" w:hAnsi="Calibri Light"/>
      <w:i/>
      <w:iCs/>
      <w:color w:val="272727"/>
      <w:sz w:val="21"/>
      <w:szCs w:val="21"/>
      <w:lang w:eastAsia="en-US"/>
    </w:rPr>
  </w:style>
  <w:style w:type="character" w:styleId="Nmerodepgina">
    <w:name w:val="page number"/>
    <w:basedOn w:val="Fuentedeprrafopredeter"/>
    <w:uiPriority w:val="99"/>
    <w:semiHidden/>
    <w:unhideWhenUsed/>
    <w:rsid w:val="004B61BB"/>
  </w:style>
  <w:style w:type="paragraph" w:styleId="Revisin">
    <w:name w:val="Revision"/>
    <w:hidden/>
    <w:uiPriority w:val="71"/>
    <w:rsid w:val="00535BBF"/>
    <w:rPr>
      <w:rFonts w:eastAsia="Cambri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574489">
      <w:bodyDiv w:val="1"/>
      <w:marLeft w:val="0"/>
      <w:marRight w:val="0"/>
      <w:marTop w:val="0"/>
      <w:marBottom w:val="0"/>
      <w:divBdr>
        <w:top w:val="none" w:sz="0" w:space="0" w:color="auto"/>
        <w:left w:val="none" w:sz="0" w:space="0" w:color="auto"/>
        <w:bottom w:val="none" w:sz="0" w:space="0" w:color="auto"/>
        <w:right w:val="none" w:sz="0" w:space="0" w:color="auto"/>
      </w:divBdr>
      <w:divsChild>
        <w:div w:id="2096248446">
          <w:marLeft w:val="0"/>
          <w:marRight w:val="0"/>
          <w:marTop w:val="0"/>
          <w:marBottom w:val="0"/>
          <w:divBdr>
            <w:top w:val="none" w:sz="0" w:space="0" w:color="auto"/>
            <w:left w:val="none" w:sz="0" w:space="0" w:color="auto"/>
            <w:bottom w:val="none" w:sz="0" w:space="0" w:color="auto"/>
            <w:right w:val="none" w:sz="0" w:space="0" w:color="auto"/>
          </w:divBdr>
          <w:divsChild>
            <w:div w:id="1954093605">
              <w:marLeft w:val="0"/>
              <w:marRight w:val="0"/>
              <w:marTop w:val="0"/>
              <w:marBottom w:val="0"/>
              <w:divBdr>
                <w:top w:val="none" w:sz="0" w:space="0" w:color="auto"/>
                <w:left w:val="none" w:sz="0" w:space="0" w:color="auto"/>
                <w:bottom w:val="none" w:sz="0" w:space="0" w:color="auto"/>
                <w:right w:val="none" w:sz="0" w:space="0" w:color="auto"/>
              </w:divBdr>
              <w:divsChild>
                <w:div w:id="1337149945">
                  <w:marLeft w:val="0"/>
                  <w:marRight w:val="0"/>
                  <w:marTop w:val="0"/>
                  <w:marBottom w:val="0"/>
                  <w:divBdr>
                    <w:top w:val="none" w:sz="0" w:space="0" w:color="auto"/>
                    <w:left w:val="none" w:sz="0" w:space="0" w:color="auto"/>
                    <w:bottom w:val="none" w:sz="0" w:space="0" w:color="auto"/>
                    <w:right w:val="none" w:sz="0" w:space="0" w:color="auto"/>
                  </w:divBdr>
                  <w:divsChild>
                    <w:div w:id="99761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0310F-4AE7-4C79-A45D-5A9E164DF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C70D4C-D134-4080-9CA0-EAA55E46FF4D}">
  <ds:schemaRefs>
    <ds:schemaRef ds:uri="http://schemas.microsoft.com/sharepoint/v3/contenttype/forms"/>
  </ds:schemaRefs>
</ds:datastoreItem>
</file>

<file path=customXml/itemProps3.xml><?xml version="1.0" encoding="utf-8"?>
<ds:datastoreItem xmlns:ds="http://schemas.openxmlformats.org/officeDocument/2006/customXml" ds:itemID="{348CE8A3-0E11-4E10-8EA2-FF91BB544F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053A68F-A08A-45A3-851B-3D4564F54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842</Words>
  <Characters>4635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5467</CharactersWithSpaces>
  <SharedDoc>false</SharedDoc>
  <HLinks>
    <vt:vector size="6" baseType="variant">
      <vt:variant>
        <vt:i4>1704060</vt:i4>
      </vt:variant>
      <vt:variant>
        <vt:i4>0</vt:i4>
      </vt:variant>
      <vt:variant>
        <vt:i4>0</vt:i4>
      </vt:variant>
      <vt:variant>
        <vt:i4>5</vt:i4>
      </vt:variant>
      <vt:variant>
        <vt:lpwstr>mailto:soporte@superfinanciera.gov.co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Gabriel Armando Ospina Garcia</cp:lastModifiedBy>
  <cp:revision>3</cp:revision>
  <dcterms:created xsi:type="dcterms:W3CDTF">2022-04-08T19:38:00Z</dcterms:created>
  <dcterms:modified xsi:type="dcterms:W3CDTF">2022-04-21T16:18:00Z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