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C8B9" w14:textId="157A1DA1" w:rsidR="009D5E0B" w:rsidRDefault="009D5E0B">
      <w:pPr>
        <w:jc w:val="center"/>
        <w:rPr>
          <w:rFonts w:ascii="Arial" w:eastAsia="Arial" w:hAnsi="Arial" w:cs="Arial"/>
          <w:b/>
          <w:bCs/>
        </w:rPr>
      </w:pPr>
    </w:p>
    <w:p w14:paraId="08CF77F1" w14:textId="77777777" w:rsidR="006E2FA3" w:rsidRDefault="006E2FA3">
      <w:pPr>
        <w:jc w:val="center"/>
        <w:rPr>
          <w:rFonts w:ascii="Arial" w:eastAsia="Arial" w:hAnsi="Arial" w:cs="Arial"/>
          <w:b/>
          <w:bCs/>
        </w:rPr>
      </w:pPr>
    </w:p>
    <w:p w14:paraId="49760758" w14:textId="77777777" w:rsidR="009D5E0B" w:rsidRPr="006E2FA3" w:rsidRDefault="009D5E0B">
      <w:pPr>
        <w:tabs>
          <w:tab w:val="center" w:pos="4607"/>
          <w:tab w:val="left" w:pos="8445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5004A645" w14:textId="0646FB6B" w:rsidR="00A55E6C" w:rsidRPr="006E2FA3" w:rsidRDefault="00A155B3" w:rsidP="00A55E6C">
      <w:pPr>
        <w:jc w:val="center"/>
        <w:rPr>
          <w:rFonts w:ascii="Arial" w:hAnsi="Arial" w:cs="Arial"/>
          <w:b/>
          <w:bCs/>
        </w:rPr>
      </w:pPr>
      <w:r w:rsidRPr="006E2FA3">
        <w:rPr>
          <w:rFonts w:ascii="Arial" w:eastAsia="Arial" w:hAnsi="Arial" w:cs="Arial"/>
          <w:b/>
          <w:bCs/>
          <w:sz w:val="22"/>
          <w:szCs w:val="22"/>
        </w:rPr>
        <w:tab/>
      </w:r>
      <w:r w:rsidR="00A55E6C" w:rsidRPr="006E2FA3">
        <w:rPr>
          <w:rFonts w:ascii="Arial" w:hAnsi="Arial" w:cs="Arial"/>
          <w:b/>
          <w:bCs/>
        </w:rPr>
        <w:t>CARTA CIRCULAR </w:t>
      </w:r>
      <w:r w:rsidR="00236621">
        <w:rPr>
          <w:rFonts w:ascii="Arial" w:hAnsi="Arial" w:cs="Arial"/>
          <w:b/>
          <w:bCs/>
        </w:rPr>
        <w:t>82</w:t>
      </w:r>
      <w:r w:rsidR="00A55E6C" w:rsidRPr="006E2FA3">
        <w:rPr>
          <w:rFonts w:ascii="Arial" w:hAnsi="Arial" w:cs="Arial"/>
          <w:b/>
          <w:bCs/>
        </w:rPr>
        <w:t xml:space="preserve"> DE 2019</w:t>
      </w:r>
    </w:p>
    <w:p w14:paraId="1408D753" w14:textId="09FA43EC" w:rsidR="00A55E6C" w:rsidRPr="006E2FA3" w:rsidRDefault="00A55E6C" w:rsidP="00A55E6C">
      <w:pPr>
        <w:jc w:val="center"/>
        <w:rPr>
          <w:rFonts w:ascii="Arial" w:hAnsi="Arial" w:cs="Arial"/>
          <w:b/>
          <w:bCs/>
        </w:rPr>
      </w:pPr>
      <w:proofErr w:type="gramStart"/>
      <w:r w:rsidRPr="006E2FA3">
        <w:rPr>
          <w:rFonts w:ascii="Arial" w:hAnsi="Arial" w:cs="Arial"/>
          <w:b/>
          <w:bCs/>
        </w:rPr>
        <w:t>(</w:t>
      </w:r>
      <w:r w:rsidR="0012086A" w:rsidRPr="006E2FA3">
        <w:rPr>
          <w:rFonts w:ascii="Arial" w:hAnsi="Arial" w:cs="Arial"/>
          <w:b/>
          <w:bCs/>
        </w:rPr>
        <w:t xml:space="preserve">  </w:t>
      </w:r>
      <w:r w:rsidR="00236621">
        <w:rPr>
          <w:rFonts w:ascii="Arial" w:hAnsi="Arial" w:cs="Arial"/>
          <w:b/>
          <w:bCs/>
        </w:rPr>
        <w:t>Noviembre</w:t>
      </w:r>
      <w:proofErr w:type="gramEnd"/>
      <w:r w:rsidR="00236621">
        <w:rPr>
          <w:rFonts w:ascii="Arial" w:hAnsi="Arial" w:cs="Arial"/>
          <w:b/>
          <w:bCs/>
        </w:rPr>
        <w:t xml:space="preserve"> 13 </w:t>
      </w:r>
      <w:r w:rsidRPr="006E2FA3">
        <w:rPr>
          <w:rFonts w:ascii="Arial" w:hAnsi="Arial" w:cs="Arial"/>
          <w:b/>
          <w:bCs/>
        </w:rPr>
        <w:t>)</w:t>
      </w:r>
    </w:p>
    <w:p w14:paraId="323947EC" w14:textId="77777777" w:rsidR="009D5E0B" w:rsidRPr="006E2FA3" w:rsidRDefault="009D5E0B" w:rsidP="00A55E6C">
      <w:pPr>
        <w:tabs>
          <w:tab w:val="center" w:pos="4607"/>
          <w:tab w:val="left" w:pos="8445"/>
        </w:tabs>
        <w:rPr>
          <w:rFonts w:ascii="Arial" w:eastAsia="Arial" w:hAnsi="Arial" w:cs="Arial"/>
          <w:b/>
          <w:bCs/>
        </w:rPr>
      </w:pPr>
    </w:p>
    <w:p w14:paraId="5A88E81F" w14:textId="6C64CAFD" w:rsidR="009D5E0B" w:rsidRPr="006E2FA3" w:rsidRDefault="009D5E0B">
      <w:pPr>
        <w:rPr>
          <w:rFonts w:ascii="Arial" w:eastAsia="Arial" w:hAnsi="Arial" w:cs="Arial"/>
          <w:b/>
          <w:bCs/>
        </w:rPr>
      </w:pPr>
    </w:p>
    <w:p w14:paraId="71CC3D46" w14:textId="77777777" w:rsidR="006E2FA3" w:rsidRPr="006E2FA3" w:rsidRDefault="006E2FA3">
      <w:pPr>
        <w:rPr>
          <w:rFonts w:ascii="Arial" w:eastAsia="Arial" w:hAnsi="Arial" w:cs="Arial"/>
          <w:b/>
          <w:bCs/>
        </w:rPr>
      </w:pPr>
    </w:p>
    <w:p w14:paraId="513DE0BA" w14:textId="77777777" w:rsidR="009D5E0B" w:rsidRPr="006E2FA3" w:rsidRDefault="00A155B3">
      <w:pPr>
        <w:rPr>
          <w:rFonts w:ascii="Arial" w:eastAsia="Arial" w:hAnsi="Arial" w:cs="Arial"/>
        </w:rPr>
      </w:pPr>
      <w:r w:rsidRPr="006E2FA3">
        <w:rPr>
          <w:rFonts w:ascii="Arial" w:hAnsi="Arial"/>
          <w:b/>
          <w:bCs/>
        </w:rPr>
        <w:t>Señores</w:t>
      </w:r>
    </w:p>
    <w:p w14:paraId="1BCB88E6" w14:textId="77777777" w:rsidR="009D5E0B" w:rsidRPr="006E2FA3" w:rsidRDefault="00A155B3">
      <w:pPr>
        <w:jc w:val="both"/>
        <w:rPr>
          <w:rFonts w:ascii="Arial" w:eastAsia="Arial" w:hAnsi="Arial" w:cs="Arial"/>
        </w:rPr>
      </w:pPr>
      <w:r w:rsidRPr="006E2FA3">
        <w:rPr>
          <w:rFonts w:ascii="Arial" w:hAnsi="Arial"/>
        </w:rPr>
        <w:t>REPRESENTANTES LEGALES, MIEMBROS DE JUNTA DIRECTIVA, REVISORES FISCALES, OFICIALES DE CUMPLIMIENTO</w:t>
      </w:r>
      <w:r w:rsidR="00D00F85" w:rsidRPr="006E2FA3">
        <w:rPr>
          <w:rFonts w:ascii="Arial" w:hAnsi="Arial"/>
        </w:rPr>
        <w:t>, FUNCIONARIOS RESPONSABLES</w:t>
      </w:r>
      <w:r w:rsidRPr="006E2FA3">
        <w:rPr>
          <w:rFonts w:ascii="Arial" w:hAnsi="Arial"/>
        </w:rPr>
        <w:t xml:space="preserve"> Y CONTRALOR NORMATIVO DE ENTIDADES SUPERVISADAS.</w:t>
      </w:r>
    </w:p>
    <w:p w14:paraId="6A4F9474" w14:textId="77777777" w:rsidR="009D5E0B" w:rsidRPr="006E2FA3" w:rsidRDefault="009D5E0B">
      <w:pPr>
        <w:ind w:left="1134" w:hanging="1134"/>
        <w:jc w:val="both"/>
        <w:rPr>
          <w:rFonts w:ascii="Arial" w:eastAsia="Arial" w:hAnsi="Arial" w:cs="Arial"/>
          <w:b/>
          <w:bCs/>
        </w:rPr>
      </w:pPr>
    </w:p>
    <w:p w14:paraId="09FF0920" w14:textId="77777777" w:rsidR="000E095B" w:rsidRPr="006E2FA3" w:rsidRDefault="000E095B">
      <w:pPr>
        <w:ind w:left="1134" w:hanging="1134"/>
        <w:jc w:val="both"/>
        <w:rPr>
          <w:rFonts w:ascii="Arial" w:eastAsia="Arial" w:hAnsi="Arial" w:cs="Arial"/>
          <w:b/>
          <w:bCs/>
        </w:rPr>
      </w:pPr>
    </w:p>
    <w:p w14:paraId="391D03F9" w14:textId="77777777" w:rsidR="006E2FA3" w:rsidRPr="006E2FA3" w:rsidRDefault="006E2FA3">
      <w:pPr>
        <w:ind w:left="1416" w:hanging="1416"/>
        <w:jc w:val="both"/>
        <w:rPr>
          <w:rFonts w:ascii="Arial" w:hAnsi="Arial"/>
          <w:b/>
          <w:bCs/>
        </w:rPr>
      </w:pPr>
    </w:p>
    <w:p w14:paraId="180DC215" w14:textId="044A7FFF" w:rsidR="009D5E0B" w:rsidRPr="006E2FA3" w:rsidRDefault="00A155B3">
      <w:pPr>
        <w:ind w:left="1416" w:hanging="1416"/>
        <w:jc w:val="both"/>
        <w:rPr>
          <w:rFonts w:ascii="Arial" w:eastAsia="Arial" w:hAnsi="Arial" w:cs="Arial"/>
          <w:b/>
          <w:bCs/>
        </w:rPr>
      </w:pPr>
      <w:r w:rsidRPr="006E2FA3">
        <w:rPr>
          <w:rFonts w:ascii="Arial" w:hAnsi="Arial"/>
          <w:b/>
          <w:bCs/>
        </w:rPr>
        <w:t>Referencia: Validez del Permiso Especial de Permanencia (PEP) para la apertura y/o contratación de productos y servicios financieros.</w:t>
      </w:r>
    </w:p>
    <w:p w14:paraId="62DB4E9B" w14:textId="77777777" w:rsidR="009D5E0B" w:rsidRPr="006E2FA3" w:rsidRDefault="009D5E0B">
      <w:pPr>
        <w:pStyle w:val="Textoindependiente"/>
        <w:rPr>
          <w:rFonts w:ascii="Arial" w:eastAsia="Arial" w:hAnsi="Arial" w:cs="Arial"/>
          <w:b/>
        </w:rPr>
      </w:pPr>
    </w:p>
    <w:p w14:paraId="12638C3E" w14:textId="10D74577" w:rsidR="009D5E0B" w:rsidRPr="006E2FA3" w:rsidRDefault="009D5E0B">
      <w:pPr>
        <w:jc w:val="both"/>
        <w:rPr>
          <w:rFonts w:ascii="Arial" w:eastAsia="Arial" w:hAnsi="Arial" w:cs="Arial"/>
        </w:rPr>
      </w:pPr>
    </w:p>
    <w:p w14:paraId="2D90985C" w14:textId="77777777" w:rsidR="006E2FA3" w:rsidRPr="006E2FA3" w:rsidRDefault="006E2FA3">
      <w:pPr>
        <w:jc w:val="both"/>
        <w:rPr>
          <w:rFonts w:ascii="Arial" w:eastAsia="Arial" w:hAnsi="Arial" w:cs="Arial"/>
        </w:rPr>
      </w:pPr>
    </w:p>
    <w:p w14:paraId="1007EAA3" w14:textId="77777777" w:rsidR="009D5E0B" w:rsidRPr="006E2FA3" w:rsidRDefault="00A155B3">
      <w:pPr>
        <w:jc w:val="both"/>
        <w:rPr>
          <w:rFonts w:ascii="Arial" w:eastAsia="Arial" w:hAnsi="Arial" w:cs="Arial"/>
        </w:rPr>
      </w:pPr>
      <w:r w:rsidRPr="006E2FA3">
        <w:rPr>
          <w:rFonts w:ascii="Arial" w:hAnsi="Arial"/>
        </w:rPr>
        <w:t>Apreciados señores:</w:t>
      </w:r>
    </w:p>
    <w:p w14:paraId="1AC126F7" w14:textId="77777777" w:rsidR="009D5E0B" w:rsidRPr="006E2FA3" w:rsidRDefault="009D5E0B">
      <w:pPr>
        <w:jc w:val="both"/>
        <w:rPr>
          <w:rFonts w:ascii="Arial" w:eastAsia="Arial" w:hAnsi="Arial" w:cs="Arial"/>
        </w:rPr>
      </w:pPr>
    </w:p>
    <w:p w14:paraId="7F008A99" w14:textId="77777777" w:rsidR="009D5E0B" w:rsidRPr="006E2FA3" w:rsidRDefault="00A155B3">
      <w:pPr>
        <w:jc w:val="both"/>
        <w:rPr>
          <w:rFonts w:ascii="Arial" w:eastAsia="Arial" w:hAnsi="Arial" w:cs="Arial"/>
        </w:rPr>
      </w:pPr>
      <w:bookmarkStart w:id="0" w:name="_Hlk23501899"/>
      <w:r w:rsidRPr="006E2FA3">
        <w:rPr>
          <w:rFonts w:ascii="Arial" w:hAnsi="Arial"/>
        </w:rPr>
        <w:t>Mediante las Resoluciones 5797 del 25 de julio del 2017 expedida por el Ministerio de Relaciones Exteriores y 1272 del 28 de julio del mismo año, emitida por la Unidad Administrativa Especial</w:t>
      </w:r>
      <w:r w:rsidR="00966D60" w:rsidRPr="006E2FA3">
        <w:rPr>
          <w:rFonts w:ascii="Arial" w:hAnsi="Arial"/>
        </w:rPr>
        <w:t xml:space="preserve"> </w:t>
      </w:r>
      <w:r w:rsidRPr="006E2FA3">
        <w:rPr>
          <w:rFonts w:ascii="Arial" w:hAnsi="Arial"/>
        </w:rPr>
        <w:t>Migración Colombia, se creó e implementó un Permiso Especial de Permanencia (PEP), dirigido de manera exclusiva a los nacionales venezolanos.</w:t>
      </w:r>
    </w:p>
    <w:p w14:paraId="52D20A9D" w14:textId="77777777" w:rsidR="009D5E0B" w:rsidRPr="006E2FA3" w:rsidRDefault="009D5E0B">
      <w:pPr>
        <w:jc w:val="both"/>
        <w:rPr>
          <w:rFonts w:ascii="Arial" w:eastAsia="Arial" w:hAnsi="Arial" w:cs="Arial"/>
        </w:rPr>
      </w:pPr>
    </w:p>
    <w:p w14:paraId="5EEE0CC3" w14:textId="4E2F85B1" w:rsidR="0067656A" w:rsidRPr="006E2FA3" w:rsidRDefault="009631E2" w:rsidP="001F70DB">
      <w:pPr>
        <w:jc w:val="both"/>
        <w:rPr>
          <w:rFonts w:ascii="Arial" w:hAnsi="Arial"/>
        </w:rPr>
      </w:pPr>
      <w:r w:rsidRPr="006E2FA3">
        <w:rPr>
          <w:rFonts w:ascii="Arial" w:hAnsi="Arial"/>
        </w:rPr>
        <w:t>Por su parte</w:t>
      </w:r>
      <w:r w:rsidR="00A155B3" w:rsidRPr="006E2FA3">
        <w:rPr>
          <w:rFonts w:ascii="Arial" w:hAnsi="Arial"/>
        </w:rPr>
        <w:t xml:space="preserve">, </w:t>
      </w:r>
      <w:r w:rsidR="00A55E6C" w:rsidRPr="006E2FA3">
        <w:rPr>
          <w:rFonts w:ascii="Arial" w:hAnsi="Arial"/>
        </w:rPr>
        <w:t xml:space="preserve">la Resolución 6370 </w:t>
      </w:r>
      <w:r w:rsidR="00D00F85" w:rsidRPr="006E2FA3">
        <w:rPr>
          <w:rFonts w:ascii="Arial" w:hAnsi="Arial"/>
        </w:rPr>
        <w:t xml:space="preserve">del 1 de agosto </w:t>
      </w:r>
      <w:r w:rsidR="008C0012" w:rsidRPr="006E2FA3">
        <w:rPr>
          <w:rFonts w:ascii="Arial" w:hAnsi="Arial"/>
        </w:rPr>
        <w:t xml:space="preserve">de 2018 </w:t>
      </w:r>
      <w:r w:rsidR="00A55E6C" w:rsidRPr="006E2FA3">
        <w:rPr>
          <w:rFonts w:ascii="Arial" w:hAnsi="Arial"/>
        </w:rPr>
        <w:t xml:space="preserve">del Ministerio de Relaciones Exteriores, </w:t>
      </w:r>
      <w:r w:rsidRPr="006E2FA3">
        <w:rPr>
          <w:rFonts w:ascii="Arial" w:hAnsi="Arial"/>
        </w:rPr>
        <w:t>en su artículo 2 precisó</w:t>
      </w:r>
      <w:r w:rsidR="001F70DB" w:rsidRPr="006E2FA3">
        <w:rPr>
          <w:rFonts w:ascii="Arial" w:hAnsi="Arial"/>
          <w:i/>
        </w:rPr>
        <w:t xml:space="preserve"> que </w:t>
      </w:r>
      <w:r w:rsidR="006E2FA3">
        <w:rPr>
          <w:rFonts w:ascii="Arial" w:hAnsi="Arial"/>
          <w:i/>
        </w:rPr>
        <w:t>“</w:t>
      </w:r>
      <w:r w:rsidRPr="006E2FA3">
        <w:rPr>
          <w:rFonts w:ascii="Arial" w:hAnsi="Arial"/>
          <w:i/>
          <w:sz w:val="22"/>
          <w:szCs w:val="22"/>
        </w:rPr>
        <w:t xml:space="preserve">(…) </w:t>
      </w:r>
      <w:r w:rsidR="001F70DB" w:rsidRPr="006E2FA3">
        <w:rPr>
          <w:rFonts w:ascii="Arial" w:hAnsi="Arial"/>
          <w:i/>
          <w:sz w:val="22"/>
          <w:szCs w:val="22"/>
        </w:rPr>
        <w:t>el Permiso Especial de Permanencia (PEP) es un documento de identificación válido para los nacionales venezolanos en territorio colombiano (…)</w:t>
      </w:r>
      <w:r w:rsidR="001F70DB" w:rsidRPr="006E2FA3">
        <w:rPr>
          <w:rFonts w:ascii="Arial" w:hAnsi="Arial"/>
          <w:i/>
        </w:rPr>
        <w:t>”</w:t>
      </w:r>
      <w:r w:rsidRPr="006E2FA3">
        <w:rPr>
          <w:rFonts w:ascii="Arial" w:hAnsi="Arial"/>
        </w:rPr>
        <w:t>. Así mismo, el</w:t>
      </w:r>
      <w:r w:rsidR="001F70DB" w:rsidRPr="006E2FA3">
        <w:rPr>
          <w:rFonts w:ascii="Arial" w:hAnsi="Arial"/>
        </w:rPr>
        <w:t xml:space="preserve"> parágrafo del artículo 7 </w:t>
      </w:r>
      <w:r w:rsidRPr="006E2FA3">
        <w:rPr>
          <w:rFonts w:ascii="Arial" w:hAnsi="Arial"/>
        </w:rPr>
        <w:t>de la citada Resolución s</w:t>
      </w:r>
      <w:r w:rsidR="001F70DB" w:rsidRPr="006E2FA3">
        <w:rPr>
          <w:rFonts w:ascii="Arial" w:hAnsi="Arial"/>
        </w:rPr>
        <w:t>eñaló que</w:t>
      </w:r>
      <w:r w:rsidR="001F70DB" w:rsidRPr="006E2FA3">
        <w:rPr>
          <w:rFonts w:ascii="Arial" w:hAnsi="Arial"/>
          <w:i/>
        </w:rPr>
        <w:t xml:space="preserve"> </w:t>
      </w:r>
      <w:r w:rsidR="00A55E6C" w:rsidRPr="006E2FA3">
        <w:rPr>
          <w:rFonts w:ascii="Arial" w:hAnsi="Arial"/>
          <w:i/>
          <w:sz w:val="22"/>
          <w:szCs w:val="22"/>
        </w:rPr>
        <w:t>“Los beneficios del PEP otorgado</w:t>
      </w:r>
      <w:r w:rsidR="006E2FA3" w:rsidRPr="006E2FA3">
        <w:rPr>
          <w:rFonts w:ascii="Arial" w:hAnsi="Arial"/>
          <w:i/>
          <w:sz w:val="22"/>
          <w:szCs w:val="22"/>
        </w:rPr>
        <w:t>s</w:t>
      </w:r>
      <w:r w:rsidR="00A55E6C" w:rsidRPr="006E2FA3">
        <w:rPr>
          <w:rFonts w:ascii="Arial" w:hAnsi="Arial"/>
          <w:i/>
          <w:sz w:val="22"/>
          <w:szCs w:val="22"/>
        </w:rPr>
        <w:t xml:space="preserve"> a las personas registradas en el RAMV</w:t>
      </w:r>
      <w:r w:rsidR="006E2FA3" w:rsidRPr="006E2FA3">
        <w:rPr>
          <w:rFonts w:ascii="Arial" w:hAnsi="Arial"/>
          <w:i/>
        </w:rPr>
        <w:t xml:space="preserve"> </w:t>
      </w:r>
      <w:r w:rsidR="006E2FA3" w:rsidRPr="006E2FA3">
        <w:rPr>
          <w:rFonts w:ascii="Arial" w:hAnsi="Arial"/>
        </w:rPr>
        <w:t>-</w:t>
      </w:r>
      <w:r w:rsidR="006E2FA3" w:rsidRPr="006E2FA3">
        <w:rPr>
          <w:lang w:val="es-ES"/>
        </w:rPr>
        <w:t xml:space="preserve"> </w:t>
      </w:r>
      <w:r w:rsidR="006E2FA3" w:rsidRPr="006E2FA3">
        <w:rPr>
          <w:rFonts w:ascii="Arial" w:hAnsi="Arial"/>
          <w:lang w:val="es-ES"/>
        </w:rPr>
        <w:t>Registro Administrativo de Migrantes Venezolanos-</w:t>
      </w:r>
      <w:r w:rsidR="00A55E6C" w:rsidRPr="006E2FA3">
        <w:rPr>
          <w:rFonts w:ascii="Arial" w:hAnsi="Arial"/>
          <w:i/>
        </w:rPr>
        <w:t xml:space="preserve">, </w:t>
      </w:r>
      <w:r w:rsidR="00A55E6C" w:rsidRPr="006E2FA3">
        <w:rPr>
          <w:rFonts w:ascii="Arial" w:hAnsi="Arial"/>
          <w:i/>
          <w:sz w:val="22"/>
          <w:szCs w:val="22"/>
        </w:rPr>
        <w:t>serán los mismos para todos los titulares a quienes se les haya otorgado en virtud de las Resoluciones 5797 de 2017 y 0740 de 2018 expedidas por el Ministerio de Relaciones Exteriores y los que expida la autoridad migratoria”</w:t>
      </w:r>
      <w:r w:rsidRPr="006E2FA3">
        <w:rPr>
          <w:rFonts w:ascii="Arial" w:hAnsi="Arial"/>
        </w:rPr>
        <w:t>.</w:t>
      </w:r>
      <w:r w:rsidR="0067656A" w:rsidRPr="006E2FA3">
        <w:rPr>
          <w:rFonts w:ascii="Arial" w:hAnsi="Arial"/>
        </w:rPr>
        <w:t xml:space="preserve"> </w:t>
      </w:r>
    </w:p>
    <w:p w14:paraId="6D6C8BF9" w14:textId="77777777" w:rsidR="0067656A" w:rsidRPr="006E2FA3" w:rsidRDefault="0067656A" w:rsidP="001F70DB">
      <w:pPr>
        <w:jc w:val="both"/>
        <w:rPr>
          <w:rFonts w:ascii="Arial" w:hAnsi="Arial"/>
        </w:rPr>
      </w:pPr>
    </w:p>
    <w:p w14:paraId="7842C850" w14:textId="77777777" w:rsidR="009631E2" w:rsidRPr="006E2FA3" w:rsidRDefault="0067656A" w:rsidP="001F70DB">
      <w:pPr>
        <w:jc w:val="both"/>
        <w:rPr>
          <w:rFonts w:ascii="Arial" w:eastAsia="Arial" w:hAnsi="Arial" w:cs="Arial"/>
        </w:rPr>
      </w:pPr>
      <w:r w:rsidRPr="006E2FA3">
        <w:rPr>
          <w:rFonts w:ascii="Arial" w:hAnsi="Arial"/>
        </w:rPr>
        <w:t xml:space="preserve">Adicionalmente, los artículos 2 y 3 </w:t>
      </w:r>
      <w:r w:rsidRPr="006E2FA3">
        <w:rPr>
          <w:rFonts w:ascii="Arial" w:eastAsia="Arial" w:hAnsi="Arial" w:cs="Arial"/>
        </w:rPr>
        <w:t>de la Resolución 872 del 5 de marzo de 2019 expedida por el Ministerio de Relaciones Exteriores, establecen respectivamente lo siguiente:</w:t>
      </w:r>
    </w:p>
    <w:p w14:paraId="350BA4D1" w14:textId="77777777" w:rsidR="0067656A" w:rsidRPr="006E2FA3" w:rsidRDefault="0067656A" w:rsidP="001F70DB">
      <w:pPr>
        <w:jc w:val="both"/>
        <w:rPr>
          <w:rFonts w:ascii="Arial" w:hAnsi="Arial"/>
        </w:rPr>
      </w:pPr>
    </w:p>
    <w:p w14:paraId="1ABEB43A" w14:textId="77777777" w:rsidR="0067656A" w:rsidRPr="006E2FA3" w:rsidRDefault="0067656A" w:rsidP="0067656A">
      <w:pPr>
        <w:jc w:val="both"/>
        <w:rPr>
          <w:rFonts w:ascii="Arial" w:hAnsi="Arial"/>
          <w:i/>
          <w:sz w:val="22"/>
          <w:szCs w:val="22"/>
        </w:rPr>
      </w:pPr>
      <w:r w:rsidRPr="006E2FA3">
        <w:rPr>
          <w:rFonts w:ascii="Arial" w:hAnsi="Arial"/>
          <w:i/>
          <w:sz w:val="22"/>
          <w:szCs w:val="22"/>
        </w:rPr>
        <w:t>“ART. 2º—Término de autorización. El pasaporte de los nacionales venezolanos que se encuentre vencido o que esté próximo a vencer, podrá ser utilizado para ingresar, transitar y salir del territorio colombiano, durante los dos (2) años siguientes, contados a partir de la fecha de vencimiento del pasaporte.</w:t>
      </w:r>
    </w:p>
    <w:p w14:paraId="2114E7CB" w14:textId="77777777" w:rsidR="0067656A" w:rsidRPr="006E2FA3" w:rsidRDefault="0067656A" w:rsidP="0067656A">
      <w:pPr>
        <w:jc w:val="both"/>
        <w:rPr>
          <w:rFonts w:ascii="Arial" w:hAnsi="Arial"/>
          <w:i/>
          <w:sz w:val="22"/>
          <w:szCs w:val="22"/>
        </w:rPr>
      </w:pPr>
    </w:p>
    <w:p w14:paraId="3A0D1E9A" w14:textId="77777777" w:rsidR="0067656A" w:rsidRPr="006E2FA3" w:rsidRDefault="0067656A" w:rsidP="0067656A">
      <w:pPr>
        <w:jc w:val="both"/>
        <w:rPr>
          <w:rFonts w:ascii="Arial" w:hAnsi="Arial"/>
          <w:i/>
        </w:rPr>
      </w:pPr>
      <w:r w:rsidRPr="006E2FA3">
        <w:rPr>
          <w:rFonts w:ascii="Arial" w:hAnsi="Arial"/>
          <w:i/>
          <w:sz w:val="22"/>
          <w:szCs w:val="22"/>
        </w:rPr>
        <w:t>ART. 3º—Documento de identificación. Sin perjuicio de las disposiciones establecidas en el Decreto 1067 de 2015 sobre Cédula de Extranjería y demás normas que reglamentan la materia, el pasaporte venezolano que se encuentre vencido y que tenga el sello de ingreso y permanencia otorgado por la Unidad Administrativa Especial Migración Colombia, servirá como documento de identificación de los nacionales venezolanos en el territorio nacional</w:t>
      </w:r>
      <w:r w:rsidRPr="006E2FA3">
        <w:rPr>
          <w:rFonts w:ascii="Arial" w:hAnsi="Arial"/>
          <w:i/>
        </w:rPr>
        <w:t>.”</w:t>
      </w:r>
    </w:p>
    <w:p w14:paraId="245BDB34" w14:textId="77777777" w:rsidR="009631E2" w:rsidRPr="006E2FA3" w:rsidRDefault="009631E2" w:rsidP="001F70DB">
      <w:pPr>
        <w:jc w:val="both"/>
        <w:rPr>
          <w:rFonts w:ascii="Arial" w:hAnsi="Arial"/>
        </w:rPr>
      </w:pPr>
    </w:p>
    <w:p w14:paraId="72F52AE3" w14:textId="77777777" w:rsidR="009E6CCC" w:rsidRPr="006E2FA3" w:rsidRDefault="009631E2" w:rsidP="001F70DB">
      <w:pPr>
        <w:jc w:val="both"/>
        <w:rPr>
          <w:rFonts w:ascii="Arial" w:hAnsi="Arial"/>
        </w:rPr>
      </w:pPr>
      <w:r w:rsidRPr="006E2FA3">
        <w:rPr>
          <w:rFonts w:ascii="Arial" w:hAnsi="Arial"/>
        </w:rPr>
        <w:t>Teniendo en cuenta lo anterior,</w:t>
      </w:r>
      <w:r w:rsidR="009E6CCC" w:rsidRPr="006E2FA3">
        <w:rPr>
          <w:rFonts w:ascii="Arial" w:hAnsi="Arial"/>
        </w:rPr>
        <w:t xml:space="preserve"> </w:t>
      </w:r>
      <w:r w:rsidRPr="006E2FA3">
        <w:rPr>
          <w:rFonts w:ascii="Arial" w:hAnsi="Arial"/>
        </w:rPr>
        <w:t xml:space="preserve">y las diferentes aclaraciones realizadas con la Oficina de Migración Colombia, </w:t>
      </w:r>
      <w:r w:rsidR="009E6CCC" w:rsidRPr="006E2FA3">
        <w:rPr>
          <w:rFonts w:ascii="Arial" w:hAnsi="Arial"/>
        </w:rPr>
        <w:t>la Superintendencia Financiera de Colombia recuerda a las entidades sometidas a su supervisión que</w:t>
      </w:r>
      <w:r w:rsidR="00007B86" w:rsidRPr="006E2FA3">
        <w:rPr>
          <w:rFonts w:ascii="Arial" w:hAnsi="Arial"/>
        </w:rPr>
        <w:t>, sin perjuicio de lo establecido en la Circular Básica Jurídica de esta Superintendencia</w:t>
      </w:r>
      <w:r w:rsidR="0012086A" w:rsidRPr="006E2FA3">
        <w:rPr>
          <w:rFonts w:ascii="Arial" w:hAnsi="Arial"/>
        </w:rPr>
        <w:t xml:space="preserve"> en materia de </w:t>
      </w:r>
      <w:r w:rsidR="0012086A" w:rsidRPr="006E2FA3">
        <w:rPr>
          <w:rFonts w:ascii="Arial" w:hAnsi="Arial"/>
        </w:rPr>
        <w:lastRenderedPageBreak/>
        <w:t>vinculación de personas naturales extranjeras</w:t>
      </w:r>
      <w:r w:rsidR="00007B86" w:rsidRPr="006E2FA3">
        <w:rPr>
          <w:rFonts w:ascii="Arial" w:hAnsi="Arial"/>
        </w:rPr>
        <w:t>,</w:t>
      </w:r>
      <w:r w:rsidR="00007B86" w:rsidRPr="006E2FA3">
        <w:rPr>
          <w:rFonts w:ascii="Arial" w:hAnsi="Arial"/>
          <w:b/>
        </w:rPr>
        <w:t xml:space="preserve"> </w:t>
      </w:r>
      <w:r w:rsidR="009E6CCC" w:rsidRPr="006E2FA3">
        <w:rPr>
          <w:rFonts w:ascii="Arial" w:hAnsi="Arial"/>
          <w:b/>
          <w:u w:val="single"/>
        </w:rPr>
        <w:t>el Permiso Especial de Permanencia</w:t>
      </w:r>
      <w:r w:rsidR="009E6CCC" w:rsidRPr="006E2FA3">
        <w:rPr>
          <w:rFonts w:ascii="Arial" w:hAnsi="Arial"/>
          <w:b/>
          <w:i/>
          <w:iCs/>
          <w:u w:val="single"/>
        </w:rPr>
        <w:t xml:space="preserve"> </w:t>
      </w:r>
      <w:r w:rsidR="009E6CCC" w:rsidRPr="006E2FA3">
        <w:rPr>
          <w:rFonts w:ascii="Arial" w:hAnsi="Arial"/>
          <w:b/>
          <w:iCs/>
          <w:u w:val="single"/>
        </w:rPr>
        <w:t>(</w:t>
      </w:r>
      <w:r w:rsidR="009E6CCC" w:rsidRPr="006E2FA3">
        <w:rPr>
          <w:rFonts w:ascii="Arial" w:hAnsi="Arial"/>
          <w:b/>
          <w:u w:val="single"/>
        </w:rPr>
        <w:t xml:space="preserve">PEP), </w:t>
      </w:r>
      <w:r w:rsidR="0067656A" w:rsidRPr="006E2FA3">
        <w:rPr>
          <w:rFonts w:ascii="Arial" w:hAnsi="Arial"/>
          <w:b/>
          <w:u w:val="single"/>
        </w:rPr>
        <w:t>así como el pasaporte venezolano</w:t>
      </w:r>
      <w:r w:rsidR="00007B86" w:rsidRPr="006E2FA3">
        <w:rPr>
          <w:rFonts w:ascii="Arial" w:hAnsi="Arial"/>
          <w:b/>
          <w:u w:val="single"/>
        </w:rPr>
        <w:t xml:space="preserve"> vencido</w:t>
      </w:r>
      <w:r w:rsidR="0067656A" w:rsidRPr="006E2FA3">
        <w:rPr>
          <w:rFonts w:ascii="Arial" w:hAnsi="Arial"/>
          <w:b/>
          <w:u w:val="single"/>
        </w:rPr>
        <w:t xml:space="preserve"> que tenga el sello de ingreso y permanencia otorgado por la Unidad Administrativa Especial Migración Colombia</w:t>
      </w:r>
      <w:r w:rsidR="00007B86" w:rsidRPr="006E2FA3">
        <w:rPr>
          <w:rFonts w:ascii="Arial" w:hAnsi="Arial"/>
          <w:b/>
          <w:u w:val="single"/>
        </w:rPr>
        <w:t xml:space="preserve"> y cuyo vencimiento no exceda de 2 años</w:t>
      </w:r>
      <w:r w:rsidR="0067656A" w:rsidRPr="006E2FA3">
        <w:rPr>
          <w:rFonts w:ascii="Arial" w:hAnsi="Arial"/>
          <w:b/>
          <w:u w:val="single"/>
        </w:rPr>
        <w:t xml:space="preserve">, </w:t>
      </w:r>
      <w:r w:rsidR="009E6CCC" w:rsidRPr="006E2FA3">
        <w:rPr>
          <w:rFonts w:ascii="Arial" w:hAnsi="Arial"/>
          <w:b/>
          <w:u w:val="single"/>
        </w:rPr>
        <w:t>tiene</w:t>
      </w:r>
      <w:r w:rsidR="00007B86" w:rsidRPr="006E2FA3">
        <w:rPr>
          <w:rFonts w:ascii="Arial" w:hAnsi="Arial"/>
          <w:b/>
          <w:u w:val="single"/>
        </w:rPr>
        <w:t>n</w:t>
      </w:r>
      <w:r w:rsidR="009E6CCC" w:rsidRPr="006E2FA3">
        <w:rPr>
          <w:rFonts w:ascii="Arial" w:hAnsi="Arial"/>
          <w:b/>
          <w:u w:val="single"/>
        </w:rPr>
        <w:t xml:space="preserve"> plena validez como identificación, y por lo tanto</w:t>
      </w:r>
      <w:r w:rsidR="00007B86" w:rsidRPr="006E2FA3">
        <w:rPr>
          <w:rFonts w:ascii="Arial" w:hAnsi="Arial"/>
          <w:b/>
          <w:u w:val="single"/>
        </w:rPr>
        <w:t>,</w:t>
      </w:r>
      <w:r w:rsidR="009E6CCC" w:rsidRPr="006E2FA3">
        <w:rPr>
          <w:rFonts w:ascii="Arial" w:hAnsi="Arial"/>
          <w:u w:val="single"/>
        </w:rPr>
        <w:t xml:space="preserve"> </w:t>
      </w:r>
      <w:r w:rsidR="009E6CCC" w:rsidRPr="006E2FA3">
        <w:rPr>
          <w:rFonts w:ascii="Arial" w:hAnsi="Arial"/>
          <w:b/>
          <w:u w:val="single"/>
        </w:rPr>
        <w:t>debe</w:t>
      </w:r>
      <w:r w:rsidR="00007B86" w:rsidRPr="006E2FA3">
        <w:rPr>
          <w:rFonts w:ascii="Arial" w:hAnsi="Arial"/>
          <w:b/>
          <w:u w:val="single"/>
        </w:rPr>
        <w:t>n</w:t>
      </w:r>
      <w:r w:rsidR="009E6CCC" w:rsidRPr="006E2FA3">
        <w:rPr>
          <w:rFonts w:ascii="Arial" w:hAnsi="Arial"/>
          <w:b/>
          <w:u w:val="single"/>
        </w:rPr>
        <w:t xml:space="preserve"> ser admitido</w:t>
      </w:r>
      <w:r w:rsidR="00007B86" w:rsidRPr="006E2FA3">
        <w:rPr>
          <w:rFonts w:ascii="Arial" w:hAnsi="Arial"/>
          <w:b/>
          <w:u w:val="single"/>
        </w:rPr>
        <w:t>s</w:t>
      </w:r>
      <w:r w:rsidR="009E6CCC" w:rsidRPr="006E2FA3">
        <w:rPr>
          <w:rFonts w:ascii="Arial" w:hAnsi="Arial"/>
          <w:b/>
          <w:u w:val="single"/>
        </w:rPr>
        <w:t xml:space="preserve"> como documento</w:t>
      </w:r>
      <w:r w:rsidR="00007B86" w:rsidRPr="006E2FA3">
        <w:rPr>
          <w:rFonts w:ascii="Arial" w:hAnsi="Arial"/>
          <w:b/>
          <w:u w:val="single"/>
        </w:rPr>
        <w:t>s</w:t>
      </w:r>
      <w:r w:rsidR="009E6CCC" w:rsidRPr="006E2FA3">
        <w:rPr>
          <w:rFonts w:ascii="Arial" w:hAnsi="Arial"/>
          <w:b/>
          <w:u w:val="single"/>
        </w:rPr>
        <w:t xml:space="preserve"> </w:t>
      </w:r>
      <w:r w:rsidR="00007B86" w:rsidRPr="006E2FA3">
        <w:rPr>
          <w:rFonts w:ascii="Arial" w:hAnsi="Arial"/>
          <w:b/>
          <w:u w:val="single"/>
        </w:rPr>
        <w:t xml:space="preserve">autónomos y </w:t>
      </w:r>
      <w:r w:rsidR="009E6CCC" w:rsidRPr="006E2FA3">
        <w:rPr>
          <w:rFonts w:ascii="Arial" w:hAnsi="Arial"/>
          <w:b/>
          <w:u w:val="single"/>
        </w:rPr>
        <w:t>suficiente</w:t>
      </w:r>
      <w:r w:rsidR="00007B86" w:rsidRPr="006E2FA3">
        <w:rPr>
          <w:rFonts w:ascii="Arial" w:hAnsi="Arial"/>
          <w:b/>
          <w:u w:val="single"/>
        </w:rPr>
        <w:t>s</w:t>
      </w:r>
      <w:r w:rsidR="009E6CCC" w:rsidRPr="006E2FA3">
        <w:rPr>
          <w:rFonts w:ascii="Arial" w:hAnsi="Arial"/>
        </w:rPr>
        <w:t xml:space="preserve"> para que los nacionales venezolanos contraten o abran productos y/o servicios financieros en las entidades supervisadas en Colombia.</w:t>
      </w:r>
    </w:p>
    <w:p w14:paraId="427B2DDE" w14:textId="77777777" w:rsidR="00A55E6C" w:rsidRPr="006E2FA3" w:rsidRDefault="00A55E6C">
      <w:pPr>
        <w:jc w:val="both"/>
        <w:rPr>
          <w:rFonts w:ascii="Arial" w:hAnsi="Arial"/>
        </w:rPr>
      </w:pPr>
    </w:p>
    <w:p w14:paraId="0A9B6A9A" w14:textId="77777777" w:rsidR="009631E2" w:rsidRPr="006E2FA3" w:rsidRDefault="009631E2">
      <w:pPr>
        <w:jc w:val="both"/>
        <w:rPr>
          <w:rFonts w:ascii="Arial" w:hAnsi="Arial"/>
        </w:rPr>
      </w:pPr>
      <w:r w:rsidRPr="006E2FA3">
        <w:rPr>
          <w:rFonts w:ascii="Arial" w:hAnsi="Arial"/>
        </w:rPr>
        <w:t xml:space="preserve">En tal sentido, </w:t>
      </w:r>
      <w:r w:rsidR="008C0012" w:rsidRPr="006E2FA3">
        <w:rPr>
          <w:rFonts w:ascii="Arial" w:hAnsi="Arial"/>
        </w:rPr>
        <w:t>lo establecido</w:t>
      </w:r>
      <w:bookmarkStart w:id="1" w:name="_GoBack"/>
      <w:bookmarkEnd w:id="1"/>
      <w:r w:rsidR="008C0012" w:rsidRPr="006E2FA3">
        <w:rPr>
          <w:rFonts w:ascii="Arial" w:hAnsi="Arial"/>
        </w:rPr>
        <w:t xml:space="preserve"> en la presente Carta Circular reemplaza lo que al respecto se </w:t>
      </w:r>
      <w:r w:rsidR="00C22E3A" w:rsidRPr="006E2FA3">
        <w:rPr>
          <w:rFonts w:ascii="Arial" w:hAnsi="Arial"/>
        </w:rPr>
        <w:t>estipuló</w:t>
      </w:r>
      <w:r w:rsidR="008C0012" w:rsidRPr="006E2FA3">
        <w:rPr>
          <w:rFonts w:ascii="Arial" w:hAnsi="Arial"/>
        </w:rPr>
        <w:t xml:space="preserve"> en las cartas circulares 68</w:t>
      </w:r>
      <w:r w:rsidR="00D00F85" w:rsidRPr="006E2FA3">
        <w:rPr>
          <w:rFonts w:ascii="Arial" w:hAnsi="Arial"/>
        </w:rPr>
        <w:t xml:space="preserve"> del 18 de agosto de </w:t>
      </w:r>
      <w:r w:rsidR="008C0012" w:rsidRPr="006E2FA3">
        <w:rPr>
          <w:rFonts w:ascii="Arial" w:hAnsi="Arial"/>
        </w:rPr>
        <w:t>2017, 9</w:t>
      </w:r>
      <w:r w:rsidR="00007B86" w:rsidRPr="006E2FA3">
        <w:rPr>
          <w:rFonts w:ascii="Arial" w:hAnsi="Arial"/>
        </w:rPr>
        <w:t>8</w:t>
      </w:r>
      <w:r w:rsidR="00D00F85" w:rsidRPr="006E2FA3">
        <w:rPr>
          <w:rFonts w:ascii="Arial" w:hAnsi="Arial"/>
        </w:rPr>
        <w:t xml:space="preserve"> del 13 de diciembre de </w:t>
      </w:r>
      <w:r w:rsidR="008C0012" w:rsidRPr="006E2FA3">
        <w:rPr>
          <w:rFonts w:ascii="Arial" w:hAnsi="Arial"/>
        </w:rPr>
        <w:t>2017, 60</w:t>
      </w:r>
      <w:r w:rsidR="00D00F85" w:rsidRPr="006E2FA3">
        <w:rPr>
          <w:rFonts w:ascii="Arial" w:hAnsi="Arial"/>
        </w:rPr>
        <w:t xml:space="preserve"> del 21 de septiembre</w:t>
      </w:r>
      <w:r w:rsidR="008C0012" w:rsidRPr="006E2FA3">
        <w:rPr>
          <w:rFonts w:ascii="Arial" w:hAnsi="Arial"/>
        </w:rPr>
        <w:t xml:space="preserve"> de 2018 y 45</w:t>
      </w:r>
      <w:r w:rsidR="00D00F85" w:rsidRPr="006E2FA3">
        <w:rPr>
          <w:rFonts w:ascii="Arial" w:hAnsi="Arial"/>
        </w:rPr>
        <w:t xml:space="preserve"> del 3 de julio</w:t>
      </w:r>
      <w:r w:rsidR="008C0012" w:rsidRPr="006E2FA3">
        <w:rPr>
          <w:rFonts w:ascii="Arial" w:hAnsi="Arial"/>
        </w:rPr>
        <w:t xml:space="preserve"> de 2019.</w:t>
      </w:r>
    </w:p>
    <w:bookmarkEnd w:id="0"/>
    <w:p w14:paraId="07555E54" w14:textId="77777777" w:rsidR="009631E2" w:rsidRPr="006E2FA3" w:rsidRDefault="009631E2">
      <w:pPr>
        <w:jc w:val="both"/>
        <w:rPr>
          <w:rFonts w:ascii="Arial" w:hAnsi="Arial"/>
        </w:rPr>
      </w:pPr>
    </w:p>
    <w:p w14:paraId="711081D2" w14:textId="77777777" w:rsidR="009D5E0B" w:rsidRPr="006E2FA3" w:rsidRDefault="00A155B3">
      <w:pPr>
        <w:jc w:val="both"/>
        <w:rPr>
          <w:rFonts w:ascii="Arial" w:hAnsi="Arial"/>
        </w:rPr>
      </w:pPr>
      <w:r w:rsidRPr="006E2FA3">
        <w:rPr>
          <w:rFonts w:ascii="Arial" w:hAnsi="Arial"/>
        </w:rPr>
        <w:t xml:space="preserve">Por último, se les recuerda a las entidades </w:t>
      </w:r>
      <w:r w:rsidR="000E095B" w:rsidRPr="006E2FA3">
        <w:rPr>
          <w:rFonts w:ascii="Arial" w:hAnsi="Arial"/>
        </w:rPr>
        <w:t xml:space="preserve">destinatarias de esta Carta Circular </w:t>
      </w:r>
      <w:r w:rsidRPr="006E2FA3">
        <w:rPr>
          <w:rFonts w:ascii="Arial" w:hAnsi="Arial"/>
        </w:rPr>
        <w:t xml:space="preserve">que deben continuar administrando de manera diligente y estricta los sistemas de administración de riesgos a los que se encuentran obligadas. </w:t>
      </w:r>
    </w:p>
    <w:p w14:paraId="2151562B" w14:textId="77777777" w:rsidR="001F70DB" w:rsidRPr="006E2FA3" w:rsidRDefault="001F70DB">
      <w:pPr>
        <w:jc w:val="both"/>
        <w:rPr>
          <w:rFonts w:ascii="Arial" w:eastAsia="Arial" w:hAnsi="Arial" w:cs="Arial"/>
        </w:rPr>
      </w:pPr>
    </w:p>
    <w:p w14:paraId="48637348" w14:textId="77777777" w:rsidR="001F70DB" w:rsidRPr="006E2FA3" w:rsidRDefault="001F70DB">
      <w:pPr>
        <w:jc w:val="both"/>
        <w:rPr>
          <w:rFonts w:ascii="Arial" w:eastAsia="Arial" w:hAnsi="Arial" w:cs="Arial"/>
        </w:rPr>
      </w:pPr>
    </w:p>
    <w:p w14:paraId="2A4A6BD2" w14:textId="77777777" w:rsidR="009D5E0B" w:rsidRPr="006E2FA3" w:rsidRDefault="00A155B3">
      <w:pPr>
        <w:jc w:val="both"/>
        <w:rPr>
          <w:rFonts w:ascii="Arial" w:eastAsia="Arial" w:hAnsi="Arial" w:cs="Arial"/>
        </w:rPr>
      </w:pPr>
      <w:r w:rsidRPr="006E2FA3">
        <w:rPr>
          <w:rFonts w:ascii="Arial" w:hAnsi="Arial"/>
        </w:rPr>
        <w:t>Cordialmente,</w:t>
      </w:r>
    </w:p>
    <w:p w14:paraId="041728E4" w14:textId="77777777" w:rsidR="009D5E0B" w:rsidRPr="006E2FA3" w:rsidRDefault="009D5E0B">
      <w:pPr>
        <w:rPr>
          <w:rFonts w:ascii="Arial" w:eastAsia="Arial" w:hAnsi="Arial" w:cs="Arial"/>
          <w:b/>
          <w:bCs/>
        </w:rPr>
      </w:pPr>
    </w:p>
    <w:p w14:paraId="07885EE4" w14:textId="2E275B12" w:rsidR="009631E2" w:rsidRPr="006E2FA3" w:rsidRDefault="009631E2">
      <w:pPr>
        <w:rPr>
          <w:rFonts w:ascii="Arial" w:hAnsi="Arial"/>
          <w:b/>
          <w:bCs/>
        </w:rPr>
      </w:pPr>
    </w:p>
    <w:p w14:paraId="36DD9FE0" w14:textId="77777777" w:rsidR="006E2FA3" w:rsidRPr="006E2FA3" w:rsidRDefault="006E2FA3">
      <w:pPr>
        <w:rPr>
          <w:rFonts w:ascii="Arial" w:hAnsi="Arial"/>
          <w:b/>
          <w:bCs/>
        </w:rPr>
      </w:pPr>
    </w:p>
    <w:p w14:paraId="15ACFCD0" w14:textId="77777777" w:rsidR="009631E2" w:rsidRPr="006E2FA3" w:rsidRDefault="009631E2">
      <w:pPr>
        <w:rPr>
          <w:rFonts w:ascii="Arial" w:hAnsi="Arial"/>
          <w:b/>
          <w:bCs/>
        </w:rPr>
      </w:pPr>
    </w:p>
    <w:p w14:paraId="286B82F1" w14:textId="2346C033" w:rsidR="0012086A" w:rsidRPr="006E2FA3" w:rsidRDefault="0012086A" w:rsidP="0012086A">
      <w:pPr>
        <w:rPr>
          <w:rFonts w:ascii="Arial" w:hAnsi="Arial"/>
          <w:b/>
          <w:bCs/>
        </w:rPr>
      </w:pPr>
      <w:r w:rsidRPr="006E2FA3">
        <w:rPr>
          <w:rFonts w:ascii="Arial" w:hAnsi="Arial"/>
          <w:b/>
          <w:bCs/>
        </w:rPr>
        <w:t xml:space="preserve">LUZ </w:t>
      </w:r>
      <w:r w:rsidR="0022334B" w:rsidRPr="006E2FA3">
        <w:rPr>
          <w:rFonts w:ascii="Arial" w:hAnsi="Arial"/>
          <w:b/>
          <w:bCs/>
        </w:rPr>
        <w:t>Á</w:t>
      </w:r>
      <w:r w:rsidRPr="006E2FA3">
        <w:rPr>
          <w:rFonts w:ascii="Arial" w:hAnsi="Arial"/>
          <w:b/>
          <w:bCs/>
        </w:rPr>
        <w:t>NGELA BARAHONA POLO</w:t>
      </w:r>
    </w:p>
    <w:p w14:paraId="3F8B270D" w14:textId="77777777" w:rsidR="0012086A" w:rsidRPr="006E2FA3" w:rsidRDefault="0012086A" w:rsidP="0012086A">
      <w:pPr>
        <w:rPr>
          <w:rFonts w:ascii="Arial" w:hAnsi="Arial"/>
        </w:rPr>
      </w:pPr>
      <w:r w:rsidRPr="006E2FA3">
        <w:rPr>
          <w:rFonts w:ascii="Arial" w:hAnsi="Arial"/>
        </w:rPr>
        <w:t xml:space="preserve">Superintendente Delegada Adjunta para </w:t>
      </w:r>
    </w:p>
    <w:p w14:paraId="5865ECD9" w14:textId="77777777" w:rsidR="0012086A" w:rsidRPr="006E2FA3" w:rsidRDefault="0012086A" w:rsidP="0012086A">
      <w:pPr>
        <w:rPr>
          <w:rFonts w:ascii="Arial" w:hAnsi="Arial"/>
        </w:rPr>
      </w:pPr>
      <w:r w:rsidRPr="006E2FA3">
        <w:rPr>
          <w:rFonts w:ascii="Arial" w:hAnsi="Arial"/>
        </w:rPr>
        <w:t>Supervisión de Intermediarios Financieros y Seguros.</w:t>
      </w:r>
    </w:p>
    <w:p w14:paraId="593C137A" w14:textId="77777777" w:rsidR="000E095B" w:rsidRPr="006E2FA3" w:rsidRDefault="000E095B">
      <w:pPr>
        <w:rPr>
          <w:rFonts w:ascii="Arial" w:hAnsi="Arial"/>
        </w:rPr>
      </w:pPr>
    </w:p>
    <w:p w14:paraId="7B0B2103" w14:textId="681D3AD9" w:rsidR="006E2FA3" w:rsidRPr="006E2FA3" w:rsidRDefault="006E2FA3">
      <w:pPr>
        <w:rPr>
          <w:rFonts w:ascii="Arial" w:hAnsi="Arial"/>
        </w:rPr>
      </w:pPr>
    </w:p>
    <w:p w14:paraId="44678247" w14:textId="77777777" w:rsidR="006E2FA3" w:rsidRPr="006E2FA3" w:rsidRDefault="006E2FA3">
      <w:pPr>
        <w:rPr>
          <w:rFonts w:ascii="Arial" w:hAnsi="Arial"/>
        </w:rPr>
      </w:pPr>
    </w:p>
    <w:p w14:paraId="70C41692" w14:textId="58E24202" w:rsidR="000E095B" w:rsidRPr="006E2FA3" w:rsidRDefault="000E095B">
      <w:pPr>
        <w:rPr>
          <w:sz w:val="20"/>
          <w:szCs w:val="20"/>
        </w:rPr>
      </w:pPr>
      <w:r w:rsidRPr="006E2FA3">
        <w:rPr>
          <w:rFonts w:ascii="Arial" w:hAnsi="Arial"/>
          <w:sz w:val="20"/>
          <w:szCs w:val="20"/>
        </w:rPr>
        <w:t>540000</w:t>
      </w:r>
    </w:p>
    <w:sectPr w:rsidR="000E095B" w:rsidRPr="006E2FA3" w:rsidSect="006E2FA3">
      <w:headerReference w:type="default" r:id="rId7"/>
      <w:headerReference w:type="first" r:id="rId8"/>
      <w:pgSz w:w="12240" w:h="18720" w:code="14"/>
      <w:pgMar w:top="1417" w:right="1701" w:bottom="1417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7EF3" w14:textId="77777777" w:rsidR="00407AAA" w:rsidRDefault="00407AAA">
      <w:r>
        <w:separator/>
      </w:r>
    </w:p>
  </w:endnote>
  <w:endnote w:type="continuationSeparator" w:id="0">
    <w:p w14:paraId="230F2A8E" w14:textId="77777777" w:rsidR="00407AAA" w:rsidRDefault="0040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395EC" w14:textId="77777777" w:rsidR="00407AAA" w:rsidRDefault="00407AAA">
      <w:r>
        <w:separator/>
      </w:r>
    </w:p>
  </w:footnote>
  <w:footnote w:type="continuationSeparator" w:id="0">
    <w:p w14:paraId="3014D834" w14:textId="77777777" w:rsidR="00407AAA" w:rsidRDefault="0040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56D0" w14:textId="77777777" w:rsidR="008C0012" w:rsidRDefault="008C0012">
    <w:pPr>
      <w:pStyle w:val="Encabezado"/>
      <w:jc w:val="center"/>
      <w:rPr>
        <w:rFonts w:ascii="Arial" w:eastAsia="Arial" w:hAnsi="Arial" w:cs="Arial"/>
        <w:b/>
        <w:bCs/>
      </w:rPr>
    </w:pPr>
    <w:r>
      <w:rPr>
        <w:rFonts w:ascii="Arial" w:hAnsi="Arial"/>
        <w:b/>
        <w:bCs/>
      </w:rPr>
      <w:t>SUPERINTENDENCIA FINANCIERA DE COLOMBIA</w:t>
    </w:r>
  </w:p>
  <w:p w14:paraId="2FA146B3" w14:textId="77777777" w:rsidR="008C0012" w:rsidRDefault="008C0012">
    <w:pPr>
      <w:pStyle w:val="Subttulo"/>
      <w:rPr>
        <w:rFonts w:ascii="Arial" w:eastAsia="Arial" w:hAnsi="Arial" w:cs="Arial"/>
      </w:rPr>
    </w:pPr>
  </w:p>
  <w:p w14:paraId="30749659" w14:textId="77777777" w:rsidR="006E2FA3" w:rsidRDefault="006E2FA3">
    <w:pPr>
      <w:pStyle w:val="Piedepgina"/>
      <w:rPr>
        <w:rFonts w:ascii="Arial" w:hAnsi="Arial"/>
        <w:b/>
        <w:bCs/>
        <w:sz w:val="22"/>
        <w:szCs w:val="22"/>
      </w:rPr>
    </w:pPr>
  </w:p>
  <w:p w14:paraId="59221266" w14:textId="5981EA39" w:rsidR="008C0012" w:rsidRPr="006E2FA3" w:rsidRDefault="008C0012">
    <w:pPr>
      <w:pStyle w:val="Piedepgina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 xml:space="preserve">Carta </w:t>
    </w:r>
    <w:proofErr w:type="gramStart"/>
    <w:r>
      <w:rPr>
        <w:rFonts w:ascii="Arial" w:hAnsi="Arial"/>
        <w:b/>
        <w:bCs/>
        <w:sz w:val="22"/>
        <w:szCs w:val="22"/>
      </w:rPr>
      <w:t xml:space="preserve">Circular </w:t>
    </w:r>
    <w:r w:rsidR="006E2FA3">
      <w:rPr>
        <w:rFonts w:ascii="Arial" w:hAnsi="Arial"/>
        <w:b/>
        <w:bCs/>
        <w:sz w:val="22"/>
        <w:szCs w:val="22"/>
      </w:rPr>
      <w:t xml:space="preserve"> </w:t>
    </w:r>
    <w:r w:rsidR="00236621">
      <w:rPr>
        <w:rFonts w:ascii="Arial" w:hAnsi="Arial"/>
        <w:b/>
        <w:bCs/>
        <w:sz w:val="22"/>
        <w:szCs w:val="22"/>
      </w:rPr>
      <w:t>82</w:t>
    </w:r>
    <w:proofErr w:type="gramEnd"/>
    <w:r w:rsidR="006E2FA3">
      <w:rPr>
        <w:rFonts w:ascii="Arial" w:hAnsi="Arial"/>
        <w:b/>
        <w:bCs/>
        <w:sz w:val="22"/>
        <w:szCs w:val="22"/>
      </w:rPr>
      <w:t xml:space="preserve"> de 2019</w:t>
    </w:r>
    <w:r>
      <w:rPr>
        <w:rFonts w:ascii="Arial" w:hAnsi="Arial"/>
        <w:b/>
        <w:bCs/>
        <w:sz w:val="22"/>
        <w:szCs w:val="22"/>
      </w:rPr>
      <w:t xml:space="preserve">                                                                                   Página  </w:t>
    </w:r>
    <w:r>
      <w:rPr>
        <w:rFonts w:ascii="Arial" w:eastAsia="Arial" w:hAnsi="Arial" w:cs="Arial"/>
        <w:b/>
        <w:bCs/>
        <w:sz w:val="22"/>
        <w:szCs w:val="22"/>
      </w:rPr>
      <w:fldChar w:fldCharType="begin"/>
    </w:r>
    <w:r>
      <w:rPr>
        <w:rFonts w:ascii="Arial" w:eastAsia="Arial" w:hAnsi="Arial" w:cs="Arial"/>
        <w:b/>
        <w:bCs/>
        <w:sz w:val="22"/>
        <w:szCs w:val="22"/>
      </w:rPr>
      <w:instrText xml:space="preserve"> PAGE </w:instrText>
    </w:r>
    <w:r>
      <w:rPr>
        <w:rFonts w:ascii="Arial" w:eastAsia="Arial" w:hAnsi="Arial" w:cs="Arial"/>
        <w:b/>
        <w:bCs/>
        <w:sz w:val="22"/>
        <w:szCs w:val="22"/>
      </w:rPr>
      <w:fldChar w:fldCharType="separate"/>
    </w:r>
    <w:r w:rsidR="006E2FA3">
      <w:rPr>
        <w:rFonts w:ascii="Arial" w:eastAsia="Arial" w:hAnsi="Arial" w:cs="Arial"/>
        <w:b/>
        <w:bCs/>
        <w:noProof/>
        <w:sz w:val="22"/>
        <w:szCs w:val="22"/>
      </w:rPr>
      <w:t>2</w:t>
    </w:r>
    <w:r>
      <w:rPr>
        <w:rFonts w:ascii="Arial" w:eastAsia="Arial" w:hAnsi="Arial" w:cs="Arial"/>
        <w:b/>
        <w:bCs/>
        <w:sz w:val="22"/>
        <w:szCs w:val="22"/>
      </w:rPr>
      <w:fldChar w:fldCharType="end"/>
    </w:r>
  </w:p>
  <w:p w14:paraId="7300531B" w14:textId="1EB9C94B" w:rsidR="006E2FA3" w:rsidRDefault="006E2FA3">
    <w:pPr>
      <w:pStyle w:val="Piedepgina"/>
      <w:rPr>
        <w:rFonts w:ascii="Arial" w:eastAsia="Arial" w:hAnsi="Arial" w:cs="Arial"/>
        <w:b/>
        <w:bCs/>
        <w:sz w:val="22"/>
        <w:szCs w:val="22"/>
      </w:rPr>
    </w:pPr>
  </w:p>
  <w:p w14:paraId="586BFDAA" w14:textId="77777777" w:rsidR="006E2FA3" w:rsidRDefault="006E2FA3">
    <w:pPr>
      <w:pStyle w:val="Piedep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CD89" w14:textId="77777777" w:rsidR="008C0012" w:rsidRDefault="008C0012">
    <w:pPr>
      <w:pStyle w:val="Encabezado"/>
      <w:jc w:val="center"/>
    </w:pPr>
    <w:r>
      <w:rPr>
        <w:rFonts w:ascii="Arial" w:hAnsi="Arial"/>
        <w:b/>
        <w:bCs/>
      </w:rPr>
      <w:t>SUPERINTENDENCIA FINANCIERA DE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0B"/>
    <w:rsid w:val="00007B86"/>
    <w:rsid w:val="000E095B"/>
    <w:rsid w:val="0012086A"/>
    <w:rsid w:val="00191B33"/>
    <w:rsid w:val="001F70DB"/>
    <w:rsid w:val="0022334B"/>
    <w:rsid w:val="00236621"/>
    <w:rsid w:val="00264FBE"/>
    <w:rsid w:val="00285592"/>
    <w:rsid w:val="002D3E65"/>
    <w:rsid w:val="003315DF"/>
    <w:rsid w:val="003A3CE3"/>
    <w:rsid w:val="003E41A2"/>
    <w:rsid w:val="00407AAA"/>
    <w:rsid w:val="004613D6"/>
    <w:rsid w:val="00482E5C"/>
    <w:rsid w:val="004C6CDE"/>
    <w:rsid w:val="004E1ABE"/>
    <w:rsid w:val="00522EF6"/>
    <w:rsid w:val="005E0D0E"/>
    <w:rsid w:val="005F4DE2"/>
    <w:rsid w:val="006427F8"/>
    <w:rsid w:val="0067656A"/>
    <w:rsid w:val="006E2FA3"/>
    <w:rsid w:val="00781C09"/>
    <w:rsid w:val="007C1A8B"/>
    <w:rsid w:val="008A5F37"/>
    <w:rsid w:val="008B68F7"/>
    <w:rsid w:val="008C0012"/>
    <w:rsid w:val="009631E2"/>
    <w:rsid w:val="00966D60"/>
    <w:rsid w:val="009D5E0B"/>
    <w:rsid w:val="009E6CCC"/>
    <w:rsid w:val="00A155B3"/>
    <w:rsid w:val="00A55E6C"/>
    <w:rsid w:val="00A6344E"/>
    <w:rsid w:val="00AA25F9"/>
    <w:rsid w:val="00B07190"/>
    <w:rsid w:val="00BE7887"/>
    <w:rsid w:val="00C22E3A"/>
    <w:rsid w:val="00D00F85"/>
    <w:rsid w:val="00D1684B"/>
    <w:rsid w:val="00D44911"/>
    <w:rsid w:val="00D76ED7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3679"/>
  <w15:docId w15:val="{12F8F526-20E5-4BC5-B0CC-15E9E774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Subttulo">
    <w:name w:val="Subtitle"/>
    <w:pPr>
      <w:widowControl w:val="0"/>
      <w:jc w:val="center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xtoindependiente">
    <w:name w:val="Body Text"/>
    <w:pPr>
      <w:jc w:val="both"/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8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8F7"/>
    <w:rPr>
      <w:rFonts w:ascii="Segoe UI" w:eastAsia="Times New Roman" w:hAnsi="Segoe UI" w:cs="Segoe UI"/>
      <w:color w:val="000000"/>
      <w:sz w:val="18"/>
      <w:szCs w:val="18"/>
      <w:u w:color="00000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E6C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C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CCC"/>
    <w:rPr>
      <w:rFonts w:eastAsia="Times New Roman"/>
      <w:color w:val="000000"/>
      <w:u w:color="00000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C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CCC"/>
    <w:rPr>
      <w:rFonts w:eastAsia="Times New Roman"/>
      <w:b/>
      <w:bCs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C3EA-C3AC-4852-9988-A572DE27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superfinanciera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 Fernando Solarte Castro</dc:creator>
  <cp:lastModifiedBy>Gabriel Armando Ospina Garcia</cp:lastModifiedBy>
  <cp:revision>3</cp:revision>
  <cp:lastPrinted>2019-11-13T19:37:00Z</cp:lastPrinted>
  <dcterms:created xsi:type="dcterms:W3CDTF">2019-11-13T19:48:00Z</dcterms:created>
  <dcterms:modified xsi:type="dcterms:W3CDTF">2019-11-13T22:19:00Z</dcterms:modified>
</cp:coreProperties>
</file>