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C8B9" w14:textId="157A1DA1" w:rsidR="009D5E0B" w:rsidRDefault="009D5E0B">
      <w:pPr>
        <w:jc w:val="center"/>
        <w:rPr>
          <w:rFonts w:ascii="Arial" w:eastAsia="Arial" w:hAnsi="Arial" w:cs="Arial"/>
          <w:b/>
          <w:bCs/>
        </w:rPr>
      </w:pPr>
    </w:p>
    <w:p w14:paraId="08CF77F1" w14:textId="77777777" w:rsidR="006E2FA3" w:rsidRDefault="006E2FA3">
      <w:pPr>
        <w:jc w:val="center"/>
        <w:rPr>
          <w:rFonts w:ascii="Arial" w:eastAsia="Arial" w:hAnsi="Arial" w:cs="Arial"/>
          <w:b/>
          <w:bCs/>
        </w:rPr>
      </w:pPr>
    </w:p>
    <w:p w14:paraId="49760758" w14:textId="77777777" w:rsidR="009D5E0B" w:rsidRPr="006E2FA3" w:rsidRDefault="009D5E0B">
      <w:pPr>
        <w:tabs>
          <w:tab w:val="center" w:pos="4607"/>
          <w:tab w:val="left" w:pos="8445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004A645" w14:textId="42CE3508" w:rsidR="00A55E6C" w:rsidRDefault="00A155B3" w:rsidP="00A55E6C">
      <w:pPr>
        <w:jc w:val="center"/>
        <w:rPr>
          <w:rFonts w:ascii="Arial" w:hAnsi="Arial" w:cs="Arial"/>
          <w:b/>
          <w:bCs/>
        </w:rPr>
      </w:pPr>
      <w:r w:rsidRPr="006E2FA3">
        <w:rPr>
          <w:rFonts w:ascii="Arial" w:eastAsia="Arial" w:hAnsi="Arial" w:cs="Arial"/>
          <w:b/>
          <w:bCs/>
          <w:sz w:val="22"/>
          <w:szCs w:val="22"/>
        </w:rPr>
        <w:tab/>
      </w:r>
      <w:r w:rsidR="00C50D97">
        <w:rPr>
          <w:rFonts w:ascii="Arial" w:hAnsi="Arial" w:cs="Arial"/>
          <w:b/>
          <w:bCs/>
        </w:rPr>
        <w:t>CIRCULAR</w:t>
      </w:r>
      <w:r w:rsidR="00A55E6C" w:rsidRPr="006E2FA3">
        <w:rPr>
          <w:rFonts w:ascii="Arial" w:hAnsi="Arial" w:cs="Arial"/>
          <w:b/>
          <w:bCs/>
        </w:rPr>
        <w:t xml:space="preserve"> </w:t>
      </w:r>
      <w:r w:rsidR="00BF0AD4">
        <w:rPr>
          <w:rFonts w:ascii="Arial" w:hAnsi="Arial" w:cs="Arial"/>
          <w:b/>
          <w:bCs/>
        </w:rPr>
        <w:t>EXTERNA</w:t>
      </w:r>
      <w:r w:rsidR="00D57E29">
        <w:rPr>
          <w:rFonts w:ascii="Arial" w:hAnsi="Arial" w:cs="Arial"/>
          <w:b/>
          <w:bCs/>
        </w:rPr>
        <w:t xml:space="preserve">   </w:t>
      </w:r>
      <w:proofErr w:type="gramStart"/>
      <w:r w:rsidR="00AA03B2">
        <w:rPr>
          <w:rFonts w:ascii="Arial" w:hAnsi="Arial" w:cs="Arial"/>
          <w:b/>
          <w:bCs/>
        </w:rPr>
        <w:t>003</w:t>
      </w:r>
      <w:r w:rsidR="00D57E29">
        <w:rPr>
          <w:rFonts w:ascii="Arial" w:hAnsi="Arial" w:cs="Arial"/>
          <w:b/>
          <w:bCs/>
        </w:rPr>
        <w:t xml:space="preserve"> </w:t>
      </w:r>
      <w:r w:rsidR="00A55E6C" w:rsidRPr="006E2FA3">
        <w:rPr>
          <w:rFonts w:ascii="Arial" w:hAnsi="Arial" w:cs="Arial"/>
          <w:b/>
          <w:bCs/>
        </w:rPr>
        <w:t xml:space="preserve"> DE</w:t>
      </w:r>
      <w:proofErr w:type="gramEnd"/>
      <w:r w:rsidR="00A55E6C" w:rsidRPr="006E2FA3">
        <w:rPr>
          <w:rFonts w:ascii="Arial" w:hAnsi="Arial" w:cs="Arial"/>
          <w:b/>
          <w:bCs/>
        </w:rPr>
        <w:t xml:space="preserve"> 20</w:t>
      </w:r>
      <w:r w:rsidR="00D57E29">
        <w:rPr>
          <w:rFonts w:ascii="Arial" w:hAnsi="Arial" w:cs="Arial"/>
          <w:b/>
          <w:bCs/>
        </w:rPr>
        <w:t>20</w:t>
      </w:r>
    </w:p>
    <w:p w14:paraId="69EDBF53" w14:textId="77777777" w:rsidR="00BF0AD4" w:rsidRPr="006E2FA3" w:rsidRDefault="00BF0AD4" w:rsidP="00A55E6C">
      <w:pPr>
        <w:jc w:val="center"/>
        <w:rPr>
          <w:rFonts w:ascii="Arial" w:hAnsi="Arial" w:cs="Arial"/>
          <w:b/>
          <w:bCs/>
        </w:rPr>
      </w:pPr>
    </w:p>
    <w:p w14:paraId="1408D753" w14:textId="6D83F4DE" w:rsidR="00A55E6C" w:rsidRPr="006E2FA3" w:rsidRDefault="00987430" w:rsidP="00A55E6C">
      <w:pPr>
        <w:jc w:val="center"/>
        <w:rPr>
          <w:rFonts w:ascii="Arial" w:hAnsi="Arial" w:cs="Arial"/>
          <w:b/>
          <w:bCs/>
        </w:rPr>
      </w:pPr>
      <w:proofErr w:type="gramStart"/>
      <w:r w:rsidRPr="006E2FA3">
        <w:rPr>
          <w:rFonts w:ascii="Arial" w:hAnsi="Arial" w:cs="Arial"/>
          <w:b/>
          <w:bCs/>
        </w:rPr>
        <w:t>(</w:t>
      </w:r>
      <w:r w:rsidR="0044407B">
        <w:rPr>
          <w:rFonts w:ascii="Arial" w:hAnsi="Arial" w:cs="Arial"/>
          <w:b/>
          <w:bCs/>
        </w:rPr>
        <w:t xml:space="preserve">  </w:t>
      </w:r>
      <w:r w:rsidR="00AA03B2">
        <w:rPr>
          <w:rFonts w:ascii="Arial" w:hAnsi="Arial" w:cs="Arial"/>
          <w:b/>
          <w:bCs/>
        </w:rPr>
        <w:t>Febrero</w:t>
      </w:r>
      <w:proofErr w:type="gramEnd"/>
      <w:r w:rsidR="00AA03B2">
        <w:rPr>
          <w:rFonts w:ascii="Arial" w:hAnsi="Arial" w:cs="Arial"/>
          <w:b/>
          <w:bCs/>
        </w:rPr>
        <w:t xml:space="preserve"> 28</w:t>
      </w:r>
      <w:r w:rsidR="00D57E29">
        <w:rPr>
          <w:rFonts w:ascii="Arial" w:hAnsi="Arial" w:cs="Arial"/>
          <w:b/>
          <w:bCs/>
        </w:rPr>
        <w:t xml:space="preserve">  )</w:t>
      </w:r>
    </w:p>
    <w:p w14:paraId="323947EC" w14:textId="77777777" w:rsidR="009D5E0B" w:rsidRPr="006E2FA3" w:rsidRDefault="009D5E0B" w:rsidP="00A55E6C">
      <w:pPr>
        <w:tabs>
          <w:tab w:val="center" w:pos="4607"/>
          <w:tab w:val="left" w:pos="8445"/>
        </w:tabs>
        <w:rPr>
          <w:rFonts w:ascii="Arial" w:eastAsia="Arial" w:hAnsi="Arial" w:cs="Arial"/>
          <w:b/>
          <w:bCs/>
        </w:rPr>
      </w:pPr>
    </w:p>
    <w:p w14:paraId="5A88E81F" w14:textId="6C64CAFD" w:rsidR="009D5E0B" w:rsidRPr="006E2FA3" w:rsidRDefault="009D5E0B">
      <w:pPr>
        <w:rPr>
          <w:rFonts w:ascii="Arial" w:eastAsia="Arial" w:hAnsi="Arial" w:cs="Arial"/>
          <w:b/>
          <w:bCs/>
        </w:rPr>
      </w:pPr>
    </w:p>
    <w:p w14:paraId="71CC3D46" w14:textId="77777777" w:rsidR="006E2FA3" w:rsidRPr="006E2FA3" w:rsidRDefault="006E2FA3">
      <w:pPr>
        <w:rPr>
          <w:rFonts w:ascii="Arial" w:eastAsia="Arial" w:hAnsi="Arial" w:cs="Arial"/>
          <w:b/>
          <w:bCs/>
        </w:rPr>
      </w:pPr>
    </w:p>
    <w:p w14:paraId="513DE0BA" w14:textId="77777777" w:rsidR="009D5E0B" w:rsidRPr="006E2FA3" w:rsidRDefault="00A155B3">
      <w:pPr>
        <w:rPr>
          <w:rFonts w:ascii="Arial" w:eastAsia="Arial" w:hAnsi="Arial" w:cs="Arial"/>
        </w:rPr>
      </w:pPr>
      <w:r w:rsidRPr="006E2FA3">
        <w:rPr>
          <w:rFonts w:ascii="Arial" w:hAnsi="Arial"/>
          <w:b/>
          <w:bCs/>
        </w:rPr>
        <w:t>Señores</w:t>
      </w:r>
    </w:p>
    <w:p w14:paraId="1B4AD47A" w14:textId="24E447AC" w:rsidR="00D57E29" w:rsidRPr="002A08ED" w:rsidRDefault="00D57E29" w:rsidP="00D57E29">
      <w:pPr>
        <w:jc w:val="both"/>
        <w:rPr>
          <w:rFonts w:ascii="Arial" w:eastAsiaTheme="minorHAnsi" w:hAnsi="Arial" w:cs="Arial"/>
          <w:lang w:val="es-CO" w:eastAsia="en-US"/>
        </w:rPr>
      </w:pPr>
      <w:r w:rsidRPr="002A08ED">
        <w:rPr>
          <w:rFonts w:ascii="Arial" w:eastAsiaTheme="minorHAnsi" w:hAnsi="Arial" w:cs="Arial"/>
          <w:lang w:val="es-CO" w:eastAsia="en-US"/>
        </w:rPr>
        <w:t>REPRESENTANTES LEGALES Y REVISORES FISCALES DE LOS ESTABLECIMIENTOS DE CRÉDITO</w:t>
      </w:r>
      <w:r w:rsidR="00780292">
        <w:rPr>
          <w:rFonts w:ascii="Arial" w:eastAsiaTheme="minorHAnsi" w:hAnsi="Arial" w:cs="Arial"/>
          <w:lang w:val="es-CO" w:eastAsia="en-US"/>
        </w:rPr>
        <w:t xml:space="preserve">, </w:t>
      </w:r>
      <w:r w:rsidR="00BF0AD4">
        <w:rPr>
          <w:rFonts w:ascii="Arial" w:eastAsiaTheme="minorHAnsi" w:hAnsi="Arial" w:cs="Arial"/>
          <w:lang w:val="es-CO" w:eastAsia="en-US"/>
        </w:rPr>
        <w:t>SOCIEDADES ESPECIALIZADAS EN DEPÓSITOS Y PAGOS ELECTRÓNICOS</w:t>
      </w:r>
      <w:r w:rsidR="00780292">
        <w:rPr>
          <w:rFonts w:ascii="Arial" w:eastAsiaTheme="minorHAnsi" w:hAnsi="Arial" w:cs="Arial"/>
          <w:lang w:val="es-CO" w:eastAsia="en-US"/>
        </w:rPr>
        <w:t xml:space="preserve"> Y </w:t>
      </w:r>
      <w:r w:rsidR="00C571D7">
        <w:rPr>
          <w:rFonts w:ascii="Arial" w:eastAsiaTheme="minorHAnsi" w:hAnsi="Arial" w:cs="Arial"/>
          <w:lang w:val="es-CO" w:eastAsia="en-US"/>
        </w:rPr>
        <w:t>ENTIDADES</w:t>
      </w:r>
      <w:r w:rsidR="00780292">
        <w:rPr>
          <w:rFonts w:ascii="Arial" w:eastAsiaTheme="minorHAnsi" w:hAnsi="Arial" w:cs="Arial"/>
          <w:lang w:val="es-CO" w:eastAsia="en-US"/>
        </w:rPr>
        <w:t xml:space="preserve"> ADMINISTRADORAS DE SISTEMAS DE PAGO DE BAJO VALOR</w:t>
      </w:r>
    </w:p>
    <w:p w14:paraId="6A4F9474" w14:textId="77777777" w:rsidR="009D5E0B" w:rsidRPr="007C1AAD" w:rsidRDefault="009D5E0B">
      <w:pPr>
        <w:ind w:left="1134" w:hanging="1134"/>
        <w:jc w:val="both"/>
        <w:rPr>
          <w:rFonts w:ascii="Arial" w:hAnsi="Arial"/>
          <w:b/>
          <w:bCs/>
        </w:rPr>
      </w:pPr>
    </w:p>
    <w:p w14:paraId="391D03F9" w14:textId="77777777" w:rsidR="006E2FA3" w:rsidRPr="006E2FA3" w:rsidRDefault="006E2FA3">
      <w:pPr>
        <w:ind w:left="1416" w:hanging="1416"/>
        <w:jc w:val="both"/>
        <w:rPr>
          <w:rFonts w:ascii="Arial" w:hAnsi="Arial"/>
          <w:b/>
          <w:bCs/>
        </w:rPr>
      </w:pPr>
    </w:p>
    <w:p w14:paraId="437AC81C" w14:textId="43C3F413" w:rsidR="00D57E29" w:rsidRPr="007C1AAD" w:rsidRDefault="00A155B3">
      <w:pPr>
        <w:jc w:val="both"/>
        <w:rPr>
          <w:rFonts w:ascii="Arial" w:hAnsi="Arial"/>
          <w:b/>
          <w:bCs/>
        </w:rPr>
      </w:pPr>
      <w:r w:rsidRPr="006E2FA3">
        <w:rPr>
          <w:rFonts w:ascii="Arial" w:hAnsi="Arial"/>
          <w:b/>
          <w:bCs/>
        </w:rPr>
        <w:t>Referencia:</w:t>
      </w:r>
      <w:r w:rsidR="00EC155C">
        <w:rPr>
          <w:rFonts w:ascii="Arial" w:hAnsi="Arial"/>
          <w:b/>
          <w:bCs/>
        </w:rPr>
        <w:t xml:space="preserve"> </w:t>
      </w:r>
      <w:r w:rsidR="00BF0AD4" w:rsidRPr="00F30BE9">
        <w:rPr>
          <w:rFonts w:ascii="Arial" w:hAnsi="Arial" w:cs="Arial"/>
          <w:b/>
        </w:rPr>
        <w:t xml:space="preserve">Instrucciones </w:t>
      </w:r>
      <w:r w:rsidR="00C23630">
        <w:rPr>
          <w:rFonts w:ascii="Arial" w:hAnsi="Arial" w:cs="Arial"/>
          <w:b/>
        </w:rPr>
        <w:t>relacionadas con la</w:t>
      </w:r>
      <w:r w:rsidR="00FF0F34">
        <w:rPr>
          <w:rFonts w:ascii="Arial" w:hAnsi="Arial" w:cs="Arial"/>
          <w:b/>
        </w:rPr>
        <w:t xml:space="preserve"> </w:t>
      </w:r>
      <w:r w:rsidR="00D57E29">
        <w:rPr>
          <w:rFonts w:ascii="Arial" w:hAnsi="Arial"/>
          <w:b/>
          <w:bCs/>
        </w:rPr>
        <w:t>divulgación a los consumidores financieros del p</w:t>
      </w:r>
      <w:r w:rsidR="00D57E29" w:rsidRPr="00D57E29">
        <w:rPr>
          <w:rFonts w:ascii="Arial" w:hAnsi="Arial"/>
          <w:b/>
          <w:bCs/>
        </w:rPr>
        <w:t>aquete mínimo de productos y</w:t>
      </w:r>
      <w:r w:rsidR="00115880">
        <w:rPr>
          <w:rFonts w:ascii="Arial" w:hAnsi="Arial"/>
          <w:b/>
          <w:bCs/>
        </w:rPr>
        <w:t>/o</w:t>
      </w:r>
      <w:r w:rsidR="00D57E29" w:rsidRPr="00D57E29">
        <w:rPr>
          <w:rFonts w:ascii="Arial" w:hAnsi="Arial"/>
          <w:b/>
          <w:bCs/>
        </w:rPr>
        <w:t xml:space="preserve"> servicios sin costo adicional según</w:t>
      </w:r>
      <w:r w:rsidR="00D57E29" w:rsidRPr="007C1AAD">
        <w:rPr>
          <w:rFonts w:ascii="Arial" w:hAnsi="Arial"/>
          <w:b/>
          <w:bCs/>
        </w:rPr>
        <w:t xml:space="preserve"> </w:t>
      </w:r>
      <w:r w:rsidR="007C1AAD" w:rsidRPr="007C1AAD">
        <w:rPr>
          <w:rFonts w:ascii="Arial" w:hAnsi="Arial"/>
          <w:b/>
          <w:bCs/>
        </w:rPr>
        <w:t>lo establecido en la Ley 2009 de 2019</w:t>
      </w:r>
      <w:r w:rsidR="00854344">
        <w:rPr>
          <w:rFonts w:ascii="Arial" w:hAnsi="Arial"/>
          <w:b/>
          <w:bCs/>
        </w:rPr>
        <w:t xml:space="preserve"> y otras disposiciones</w:t>
      </w:r>
      <w:r w:rsidR="007C1AAD" w:rsidRPr="007C1AAD">
        <w:rPr>
          <w:rFonts w:ascii="Arial" w:hAnsi="Arial"/>
          <w:b/>
          <w:bCs/>
        </w:rPr>
        <w:t>.</w:t>
      </w:r>
    </w:p>
    <w:p w14:paraId="14B5AED0" w14:textId="19002B5F" w:rsidR="00D57E29" w:rsidRDefault="00D57E29" w:rsidP="00BF0AD4">
      <w:pPr>
        <w:jc w:val="both"/>
        <w:rPr>
          <w:rFonts w:ascii="Arial" w:hAnsi="Arial"/>
          <w:b/>
          <w:bCs/>
        </w:rPr>
      </w:pPr>
    </w:p>
    <w:p w14:paraId="1007EAA3" w14:textId="77777777" w:rsidR="009D5E0B" w:rsidRPr="006E2FA3" w:rsidRDefault="00A155B3">
      <w:pPr>
        <w:jc w:val="both"/>
        <w:rPr>
          <w:rFonts w:ascii="Arial" w:eastAsia="Arial" w:hAnsi="Arial" w:cs="Arial"/>
        </w:rPr>
      </w:pPr>
      <w:r w:rsidRPr="006E2FA3">
        <w:rPr>
          <w:rFonts w:ascii="Arial" w:hAnsi="Arial"/>
        </w:rPr>
        <w:t>Apreciados señores:</w:t>
      </w:r>
    </w:p>
    <w:p w14:paraId="1AC126F7" w14:textId="77777777" w:rsidR="009D5E0B" w:rsidRPr="006E2FA3" w:rsidRDefault="009D5E0B">
      <w:pPr>
        <w:jc w:val="both"/>
        <w:rPr>
          <w:rFonts w:ascii="Arial" w:eastAsia="Arial" w:hAnsi="Arial" w:cs="Arial"/>
        </w:rPr>
      </w:pPr>
    </w:p>
    <w:p w14:paraId="464A8E5F" w14:textId="2BC563F6" w:rsidR="00DC31C1" w:rsidRDefault="00BF0AD4" w:rsidP="00D34350">
      <w:pPr>
        <w:jc w:val="both"/>
        <w:rPr>
          <w:rFonts w:ascii="Arial" w:hAnsi="Arial"/>
        </w:rPr>
      </w:pPr>
      <w:bookmarkStart w:id="0" w:name="_Hlk23501899"/>
      <w:r>
        <w:rPr>
          <w:rFonts w:ascii="Arial" w:hAnsi="Arial"/>
        </w:rPr>
        <w:t>E</w:t>
      </w:r>
      <w:r w:rsidR="00ED74B9">
        <w:rPr>
          <w:rFonts w:ascii="Arial" w:hAnsi="Arial"/>
        </w:rPr>
        <w:t xml:space="preserve">l </w:t>
      </w:r>
      <w:r w:rsidR="00286CEC">
        <w:rPr>
          <w:rFonts w:ascii="Arial" w:hAnsi="Arial"/>
        </w:rPr>
        <w:t xml:space="preserve">pasado </w:t>
      </w:r>
      <w:r w:rsidR="00ED74B9">
        <w:rPr>
          <w:rFonts w:ascii="Arial" w:hAnsi="Arial"/>
        </w:rPr>
        <w:t xml:space="preserve">27 de </w:t>
      </w:r>
      <w:r w:rsidR="00EC155C">
        <w:rPr>
          <w:rFonts w:ascii="Arial" w:hAnsi="Arial"/>
        </w:rPr>
        <w:t>diciembre</w:t>
      </w:r>
      <w:r w:rsidR="00ED74B9">
        <w:rPr>
          <w:rFonts w:ascii="Arial" w:hAnsi="Arial"/>
        </w:rPr>
        <w:t xml:space="preserve"> </w:t>
      </w:r>
      <w:r w:rsidR="00A5496E">
        <w:rPr>
          <w:rFonts w:ascii="Arial" w:hAnsi="Arial"/>
        </w:rPr>
        <w:t>se sancionó</w:t>
      </w:r>
      <w:r w:rsidR="00ED74B9">
        <w:rPr>
          <w:rFonts w:ascii="Arial" w:hAnsi="Arial"/>
        </w:rPr>
        <w:t xml:space="preserve"> la Ley 2009 de 2019 por medio de la cual “</w:t>
      </w:r>
      <w:r w:rsidR="00ED74B9" w:rsidRPr="00286CEC">
        <w:rPr>
          <w:rFonts w:ascii="Arial" w:hAnsi="Arial"/>
          <w:i/>
          <w:iCs/>
        </w:rPr>
        <w:t>se incluyen sin costo adicional un paquete de productos y</w:t>
      </w:r>
      <w:r w:rsidR="004F5B33">
        <w:rPr>
          <w:rFonts w:ascii="Arial" w:hAnsi="Arial"/>
          <w:i/>
          <w:iCs/>
        </w:rPr>
        <w:t>/</w:t>
      </w:r>
      <w:r w:rsidR="00ED74B9" w:rsidRPr="00286CEC">
        <w:rPr>
          <w:rFonts w:ascii="Arial" w:hAnsi="Arial"/>
          <w:i/>
          <w:iCs/>
        </w:rPr>
        <w:t xml:space="preserve">o servicios financieros por el pago de la cuota de </w:t>
      </w:r>
      <w:r w:rsidR="004F5B33" w:rsidRPr="00286CEC">
        <w:rPr>
          <w:rFonts w:ascii="Arial" w:hAnsi="Arial"/>
          <w:i/>
          <w:iCs/>
        </w:rPr>
        <w:t>manejo</w:t>
      </w:r>
      <w:r w:rsidR="00ED74B9" w:rsidRPr="00286CEC">
        <w:rPr>
          <w:rFonts w:ascii="Arial" w:hAnsi="Arial"/>
          <w:i/>
          <w:iCs/>
        </w:rPr>
        <w:t xml:space="preserve"> de las </w:t>
      </w:r>
      <w:r w:rsidR="004F5B33" w:rsidRPr="00286CEC">
        <w:rPr>
          <w:rFonts w:ascii="Arial" w:hAnsi="Arial"/>
          <w:i/>
          <w:iCs/>
        </w:rPr>
        <w:t>tarjetas</w:t>
      </w:r>
      <w:r w:rsidR="00ED74B9" w:rsidRPr="00286CEC">
        <w:rPr>
          <w:rFonts w:ascii="Arial" w:hAnsi="Arial"/>
          <w:i/>
          <w:iCs/>
        </w:rPr>
        <w:t xml:space="preserve"> débito y crédito</w:t>
      </w:r>
      <w:r w:rsidR="0029574C">
        <w:rPr>
          <w:rFonts w:ascii="Arial" w:hAnsi="Arial"/>
          <w:i/>
          <w:iCs/>
        </w:rPr>
        <w:t>”</w:t>
      </w:r>
      <w:r w:rsidR="006569A8">
        <w:rPr>
          <w:rFonts w:ascii="Arial" w:hAnsi="Arial"/>
        </w:rPr>
        <w:t>. En virtud de lo</w:t>
      </w:r>
      <w:r w:rsidR="00DC31C1">
        <w:rPr>
          <w:rFonts w:ascii="Arial" w:hAnsi="Arial"/>
        </w:rPr>
        <w:t xml:space="preserve"> anterior</w:t>
      </w:r>
      <w:r>
        <w:rPr>
          <w:rFonts w:ascii="Arial" w:hAnsi="Arial"/>
        </w:rPr>
        <w:t>,</w:t>
      </w:r>
      <w:r w:rsidR="00DC31C1">
        <w:rPr>
          <w:rFonts w:ascii="Arial" w:hAnsi="Arial"/>
        </w:rPr>
        <w:t xml:space="preserve"> esta Superintendencia incorporó en su plan de supervisión para el año 2020 la verificación del cumplimiento de la mencionada Ley </w:t>
      </w:r>
      <w:r w:rsidR="00B41781">
        <w:rPr>
          <w:rFonts w:ascii="Arial" w:hAnsi="Arial"/>
        </w:rPr>
        <w:t xml:space="preserve">por parte de </w:t>
      </w:r>
      <w:r w:rsidR="00DC31C1">
        <w:rPr>
          <w:rFonts w:ascii="Arial" w:hAnsi="Arial"/>
        </w:rPr>
        <w:t xml:space="preserve">las entidades destinatarias de </w:t>
      </w:r>
      <w:proofErr w:type="gramStart"/>
      <w:r w:rsidR="00DC31C1">
        <w:rPr>
          <w:rFonts w:ascii="Arial" w:hAnsi="Arial"/>
        </w:rPr>
        <w:t>la misma</w:t>
      </w:r>
      <w:proofErr w:type="gramEnd"/>
      <w:r w:rsidR="00DC31C1">
        <w:rPr>
          <w:rFonts w:ascii="Arial" w:hAnsi="Arial"/>
        </w:rPr>
        <w:t>.</w:t>
      </w:r>
    </w:p>
    <w:p w14:paraId="2869554A" w14:textId="77777777" w:rsidR="00DC31C1" w:rsidRDefault="00DC31C1" w:rsidP="00D34350">
      <w:pPr>
        <w:jc w:val="both"/>
        <w:rPr>
          <w:rFonts w:ascii="Arial" w:hAnsi="Arial"/>
        </w:rPr>
      </w:pPr>
    </w:p>
    <w:p w14:paraId="54198674" w14:textId="4FF508CD" w:rsidR="00DC31C1" w:rsidRDefault="00BF0AD4" w:rsidP="00D34350">
      <w:pPr>
        <w:jc w:val="both"/>
        <w:rPr>
          <w:rFonts w:ascii="Arial" w:hAnsi="Arial"/>
        </w:rPr>
      </w:pPr>
      <w:r>
        <w:rPr>
          <w:rFonts w:ascii="Arial" w:hAnsi="Arial"/>
        </w:rPr>
        <w:t>En este sentido</w:t>
      </w:r>
      <w:r w:rsidR="00DC31C1">
        <w:rPr>
          <w:rFonts w:ascii="Arial" w:hAnsi="Arial"/>
        </w:rPr>
        <w:t xml:space="preserve">, las aproximaciones iniciales realizadas por esta Superintendencia permitieron identificar </w:t>
      </w:r>
      <w:proofErr w:type="gramStart"/>
      <w:r w:rsidR="00DC31C1">
        <w:rPr>
          <w:rFonts w:ascii="Arial" w:hAnsi="Arial"/>
        </w:rPr>
        <w:t>que</w:t>
      </w:r>
      <w:proofErr w:type="gramEnd"/>
      <w:r w:rsidR="00DC31C1">
        <w:rPr>
          <w:rFonts w:ascii="Arial" w:hAnsi="Arial"/>
        </w:rPr>
        <w:t xml:space="preserve"> si bien las entidades han dado aplicación a las disposiciones establecidas en la Ley, existe heterogeneidad </w:t>
      </w:r>
      <w:r w:rsidR="0048709F">
        <w:rPr>
          <w:rFonts w:ascii="Arial" w:hAnsi="Arial"/>
        </w:rPr>
        <w:t xml:space="preserve">respecto de su aplicación </w:t>
      </w:r>
      <w:r w:rsidR="00992095">
        <w:rPr>
          <w:rFonts w:ascii="Arial" w:hAnsi="Arial"/>
        </w:rPr>
        <w:t xml:space="preserve">e interpretación </w:t>
      </w:r>
      <w:r w:rsidR="00DC31C1">
        <w:rPr>
          <w:rFonts w:ascii="Arial" w:hAnsi="Arial"/>
        </w:rPr>
        <w:t xml:space="preserve">que hace necesario establecer elementos mínimos homogéneos a fin de que los consumidores financieros tengan total claridad de los beneficios incorporados </w:t>
      </w:r>
      <w:r>
        <w:rPr>
          <w:rFonts w:ascii="Arial" w:hAnsi="Arial"/>
        </w:rPr>
        <w:t>en</w:t>
      </w:r>
      <w:r w:rsidR="00DC31C1">
        <w:rPr>
          <w:rFonts w:ascii="Arial" w:hAnsi="Arial"/>
        </w:rPr>
        <w:t xml:space="preserve"> la </w:t>
      </w:r>
      <w:r>
        <w:rPr>
          <w:rFonts w:ascii="Arial" w:hAnsi="Arial"/>
        </w:rPr>
        <w:t xml:space="preserve">mencionada </w:t>
      </w:r>
      <w:r w:rsidR="00DC31C1">
        <w:rPr>
          <w:rFonts w:ascii="Arial" w:hAnsi="Arial"/>
        </w:rPr>
        <w:t>Ley.</w:t>
      </w:r>
    </w:p>
    <w:p w14:paraId="4BC2B589" w14:textId="77777777" w:rsidR="00DC31C1" w:rsidRDefault="00DC31C1" w:rsidP="00D34350">
      <w:pPr>
        <w:jc w:val="both"/>
        <w:rPr>
          <w:rFonts w:ascii="Arial" w:hAnsi="Arial"/>
        </w:rPr>
      </w:pPr>
    </w:p>
    <w:p w14:paraId="2030B580" w14:textId="7DF506FA" w:rsidR="00F43F17" w:rsidRDefault="00F43F17" w:rsidP="00D34350">
      <w:pPr>
        <w:jc w:val="both"/>
        <w:rPr>
          <w:rFonts w:ascii="Arial" w:hAnsi="Arial"/>
        </w:rPr>
      </w:pPr>
      <w:r w:rsidRPr="00BF0AD4">
        <w:rPr>
          <w:rFonts w:ascii="Arial" w:hAnsi="Arial"/>
        </w:rPr>
        <w:t>En consecuencia, est</w:t>
      </w:r>
      <w:r w:rsidR="00BF0AD4" w:rsidRPr="00BF0AD4">
        <w:rPr>
          <w:rFonts w:ascii="Arial" w:hAnsi="Arial"/>
        </w:rPr>
        <w:t>e Despacho,</w:t>
      </w:r>
      <w:r w:rsidRPr="00BF0AD4">
        <w:rPr>
          <w:rFonts w:ascii="Arial" w:hAnsi="Arial"/>
        </w:rPr>
        <w:t xml:space="preserve"> en uso de sus facultades legales y </w:t>
      </w:r>
      <w:r w:rsidR="00DC31C1" w:rsidRPr="00BF0AD4">
        <w:rPr>
          <w:rFonts w:ascii="Arial" w:hAnsi="Arial"/>
        </w:rPr>
        <w:t xml:space="preserve">en especial las </w:t>
      </w:r>
      <w:r w:rsidR="00BF0AD4" w:rsidRPr="00BF0AD4">
        <w:rPr>
          <w:rFonts w:ascii="Arial" w:hAnsi="Arial"/>
        </w:rPr>
        <w:t xml:space="preserve">establecidas en literal a) del numeral 3º del artículo 326 del EOSF, el artículo </w:t>
      </w:r>
      <w:r w:rsidR="00872DE8">
        <w:rPr>
          <w:rFonts w:ascii="Arial" w:hAnsi="Arial"/>
        </w:rPr>
        <w:t>12</w:t>
      </w:r>
      <w:r w:rsidR="00BF0AD4" w:rsidRPr="00BF0AD4">
        <w:rPr>
          <w:rFonts w:ascii="Arial" w:hAnsi="Arial"/>
        </w:rPr>
        <w:t xml:space="preserve"> de la Ley 1328 de 2009 y el numeral </w:t>
      </w:r>
      <w:r w:rsidR="00292ACE">
        <w:rPr>
          <w:rFonts w:ascii="Arial" w:hAnsi="Arial"/>
        </w:rPr>
        <w:t>4</w:t>
      </w:r>
      <w:r w:rsidR="00BF0AD4" w:rsidRPr="00BF0AD4">
        <w:rPr>
          <w:rFonts w:ascii="Arial" w:hAnsi="Arial"/>
        </w:rPr>
        <w:t>º del artículo 11.2.1.4.2 del Decreto 2555 de 2010</w:t>
      </w:r>
      <w:r w:rsidR="00AD4726">
        <w:rPr>
          <w:rFonts w:ascii="Arial" w:hAnsi="Arial"/>
        </w:rPr>
        <w:t>,</w:t>
      </w:r>
      <w:r w:rsidR="00BF0AD4">
        <w:rPr>
          <w:rFonts w:ascii="Arial" w:hAnsi="Arial"/>
        </w:rPr>
        <w:t xml:space="preserve"> </w:t>
      </w:r>
      <w:r w:rsidR="00BF0AD4" w:rsidRPr="00BF0AD4">
        <w:rPr>
          <w:rFonts w:ascii="Arial" w:hAnsi="Arial"/>
        </w:rPr>
        <w:t>imparte las siguientes instrucciones</w:t>
      </w:r>
      <w:r w:rsidR="00C105DE">
        <w:rPr>
          <w:rFonts w:ascii="Arial" w:hAnsi="Arial"/>
        </w:rPr>
        <w:t>:</w:t>
      </w:r>
    </w:p>
    <w:p w14:paraId="5B019913" w14:textId="675A4EA2" w:rsidR="00C105DE" w:rsidRDefault="00C105DE" w:rsidP="00D34350">
      <w:pPr>
        <w:jc w:val="both"/>
        <w:rPr>
          <w:rFonts w:ascii="Arial" w:hAnsi="Arial"/>
        </w:rPr>
      </w:pPr>
    </w:p>
    <w:p w14:paraId="07160F07" w14:textId="073488AE" w:rsidR="001E31AF" w:rsidRPr="006F1886" w:rsidRDefault="00C105DE" w:rsidP="00D34350">
      <w:pPr>
        <w:jc w:val="both"/>
        <w:rPr>
          <w:rFonts w:ascii="Arial" w:hAnsi="Arial"/>
        </w:rPr>
      </w:pPr>
      <w:r w:rsidRPr="00C105DE">
        <w:rPr>
          <w:rFonts w:ascii="Arial" w:hAnsi="Arial"/>
          <w:b/>
          <w:bCs/>
        </w:rPr>
        <w:t>PRIMERA</w:t>
      </w:r>
      <w:r w:rsidR="00FE7145">
        <w:rPr>
          <w:rFonts w:ascii="Arial" w:hAnsi="Arial"/>
          <w:b/>
          <w:bCs/>
        </w:rPr>
        <w:t>:</w:t>
      </w:r>
      <w:r w:rsidR="00A249E5">
        <w:rPr>
          <w:rFonts w:ascii="Arial" w:hAnsi="Arial"/>
          <w:b/>
          <w:bCs/>
        </w:rPr>
        <w:t xml:space="preserve"> </w:t>
      </w:r>
      <w:r w:rsidR="001E31AF" w:rsidRPr="006F1886">
        <w:rPr>
          <w:rFonts w:ascii="Arial" w:hAnsi="Arial"/>
        </w:rPr>
        <w:t xml:space="preserve">Adicionar </w:t>
      </w:r>
      <w:r w:rsidR="00700F3B" w:rsidRPr="006F1886">
        <w:rPr>
          <w:rFonts w:ascii="Arial" w:hAnsi="Arial"/>
        </w:rPr>
        <w:t xml:space="preserve">un párrafo al </w:t>
      </w:r>
      <w:proofErr w:type="spellStart"/>
      <w:r w:rsidR="00700F3B" w:rsidRPr="006F1886">
        <w:rPr>
          <w:rFonts w:ascii="Arial" w:hAnsi="Arial"/>
        </w:rPr>
        <w:t>subnumeral</w:t>
      </w:r>
      <w:proofErr w:type="spellEnd"/>
      <w:r w:rsidR="00700F3B" w:rsidRPr="006F1886">
        <w:rPr>
          <w:rFonts w:ascii="Arial" w:hAnsi="Arial"/>
        </w:rPr>
        <w:t xml:space="preserve"> 2.3.4.2.8</w:t>
      </w:r>
      <w:r w:rsidR="00B31FF2" w:rsidRPr="006F1886">
        <w:rPr>
          <w:rFonts w:ascii="Arial" w:hAnsi="Arial"/>
        </w:rPr>
        <w:t xml:space="preserve"> del </w:t>
      </w:r>
      <w:r w:rsidR="006F1886">
        <w:rPr>
          <w:rFonts w:ascii="Arial" w:hAnsi="Arial"/>
        </w:rPr>
        <w:t xml:space="preserve">Capítulo I del Título II de la Parte I de la Circular Básica Jurídica con el propósito de incorporar </w:t>
      </w:r>
      <w:r w:rsidR="00312506">
        <w:rPr>
          <w:rFonts w:ascii="Arial" w:hAnsi="Arial"/>
        </w:rPr>
        <w:t>reglas relativas a la reversió</w:t>
      </w:r>
      <w:r w:rsidR="00A67CB4">
        <w:rPr>
          <w:rFonts w:ascii="Arial" w:hAnsi="Arial"/>
        </w:rPr>
        <w:t xml:space="preserve">n de cobros realizados en cajeros automáticos </w:t>
      </w:r>
      <w:r w:rsidR="000F1A75">
        <w:rPr>
          <w:rFonts w:ascii="Arial" w:hAnsi="Arial"/>
        </w:rPr>
        <w:t>por operaciones fallidas.</w:t>
      </w:r>
      <w:r w:rsidR="00FB2320" w:rsidRPr="00FB2320">
        <w:rPr>
          <w:rFonts w:ascii="Arial" w:hAnsi="Arial"/>
        </w:rPr>
        <w:t xml:space="preserve"> </w:t>
      </w:r>
    </w:p>
    <w:p w14:paraId="06441DB9" w14:textId="77777777" w:rsidR="001E31AF" w:rsidRDefault="001E31AF" w:rsidP="00D34350">
      <w:pPr>
        <w:jc w:val="both"/>
        <w:rPr>
          <w:rFonts w:ascii="Arial" w:hAnsi="Arial"/>
          <w:b/>
          <w:bCs/>
        </w:rPr>
      </w:pPr>
    </w:p>
    <w:p w14:paraId="2D74297D" w14:textId="7AB02DF9" w:rsidR="005A4A22" w:rsidRDefault="00380459" w:rsidP="00D34350">
      <w:pPr>
        <w:jc w:val="both"/>
        <w:rPr>
          <w:rFonts w:ascii="Arial" w:hAnsi="Arial"/>
        </w:rPr>
      </w:pPr>
      <w:r w:rsidRPr="00380459">
        <w:rPr>
          <w:rFonts w:ascii="Arial" w:hAnsi="Arial"/>
          <w:b/>
          <w:bCs/>
        </w:rPr>
        <w:t>SEGUNDA</w:t>
      </w:r>
      <w:r w:rsidRPr="00292ACE"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 w:rsidR="00BF0AD4">
        <w:rPr>
          <w:rFonts w:ascii="Arial" w:hAnsi="Arial"/>
        </w:rPr>
        <w:t xml:space="preserve">Adicionar </w:t>
      </w:r>
      <w:r w:rsidR="00B731EC">
        <w:rPr>
          <w:rFonts w:ascii="Arial" w:hAnsi="Arial"/>
        </w:rPr>
        <w:t xml:space="preserve">el </w:t>
      </w:r>
      <w:proofErr w:type="spellStart"/>
      <w:r w:rsidR="00D35618">
        <w:rPr>
          <w:rFonts w:ascii="Arial" w:hAnsi="Arial"/>
        </w:rPr>
        <w:t>subnumeral</w:t>
      </w:r>
      <w:proofErr w:type="spellEnd"/>
      <w:r w:rsidR="00D35618">
        <w:rPr>
          <w:rFonts w:ascii="Arial" w:hAnsi="Arial"/>
        </w:rPr>
        <w:t xml:space="preserve"> </w:t>
      </w:r>
      <w:r w:rsidR="00135D00">
        <w:rPr>
          <w:rFonts w:ascii="Arial" w:hAnsi="Arial"/>
        </w:rPr>
        <w:t>3.3.4</w:t>
      </w:r>
      <w:r w:rsidR="00A41938">
        <w:rPr>
          <w:rFonts w:ascii="Arial" w:hAnsi="Arial"/>
        </w:rPr>
        <w:t xml:space="preserve">. y modificar el </w:t>
      </w:r>
      <w:proofErr w:type="spellStart"/>
      <w:r w:rsidR="00A41938">
        <w:rPr>
          <w:rFonts w:ascii="Arial" w:hAnsi="Arial"/>
        </w:rPr>
        <w:t>subnumeral</w:t>
      </w:r>
      <w:proofErr w:type="spellEnd"/>
      <w:r w:rsidR="00A41938">
        <w:rPr>
          <w:rFonts w:ascii="Arial" w:hAnsi="Arial"/>
        </w:rPr>
        <w:t xml:space="preserve"> 3.4.1.3. de</w:t>
      </w:r>
      <w:r w:rsidR="00313EB9">
        <w:rPr>
          <w:rFonts w:ascii="Arial" w:hAnsi="Arial"/>
        </w:rPr>
        <w:t xml:space="preserve">l </w:t>
      </w:r>
      <w:r w:rsidR="00A41938">
        <w:rPr>
          <w:rFonts w:ascii="Arial" w:hAnsi="Arial"/>
        </w:rPr>
        <w:t xml:space="preserve">Capítulo I </w:t>
      </w:r>
      <w:r w:rsidR="00410202">
        <w:rPr>
          <w:rFonts w:ascii="Arial" w:hAnsi="Arial"/>
        </w:rPr>
        <w:t xml:space="preserve">del </w:t>
      </w:r>
      <w:r w:rsidR="00313EB9">
        <w:rPr>
          <w:rFonts w:ascii="Arial" w:hAnsi="Arial"/>
        </w:rPr>
        <w:t xml:space="preserve">Título III </w:t>
      </w:r>
      <w:r w:rsidR="00410202">
        <w:rPr>
          <w:rFonts w:ascii="Arial" w:hAnsi="Arial"/>
        </w:rPr>
        <w:t xml:space="preserve">de la </w:t>
      </w:r>
      <w:r w:rsidR="00313EB9">
        <w:rPr>
          <w:rFonts w:ascii="Arial" w:hAnsi="Arial"/>
        </w:rPr>
        <w:t>Parte I de</w:t>
      </w:r>
      <w:r w:rsidR="00410202">
        <w:rPr>
          <w:rFonts w:ascii="Arial" w:hAnsi="Arial"/>
        </w:rPr>
        <w:t xml:space="preserve"> la Circular Básica Jurídica</w:t>
      </w:r>
      <w:r w:rsidR="00A34FF4">
        <w:rPr>
          <w:rFonts w:ascii="Arial" w:hAnsi="Arial"/>
        </w:rPr>
        <w:t xml:space="preserve"> </w:t>
      </w:r>
      <w:r w:rsidR="006E65B8">
        <w:rPr>
          <w:rFonts w:ascii="Arial" w:hAnsi="Arial"/>
        </w:rPr>
        <w:t>con el fin de incorporar</w:t>
      </w:r>
      <w:r w:rsidR="002F2D54">
        <w:rPr>
          <w:rFonts w:ascii="Arial" w:hAnsi="Arial"/>
        </w:rPr>
        <w:t xml:space="preserve"> las reglas relativas a la divulgación de información </w:t>
      </w:r>
      <w:r w:rsidR="00D5709C">
        <w:rPr>
          <w:rFonts w:ascii="Arial" w:hAnsi="Arial"/>
        </w:rPr>
        <w:t>respecto</w:t>
      </w:r>
      <w:r w:rsidR="002F2D54">
        <w:rPr>
          <w:rFonts w:ascii="Arial" w:hAnsi="Arial"/>
        </w:rPr>
        <w:t xml:space="preserve"> de la compo</w:t>
      </w:r>
      <w:r w:rsidR="003E06FF">
        <w:rPr>
          <w:rFonts w:ascii="Arial" w:hAnsi="Arial"/>
        </w:rPr>
        <w:t>sición de</w:t>
      </w:r>
      <w:r w:rsidR="00153B83">
        <w:rPr>
          <w:rFonts w:ascii="Arial" w:hAnsi="Arial"/>
        </w:rPr>
        <w:t xml:space="preserve"> los</w:t>
      </w:r>
      <w:r w:rsidR="003E06FF">
        <w:rPr>
          <w:rFonts w:ascii="Arial" w:hAnsi="Arial"/>
        </w:rPr>
        <w:t xml:space="preserve"> paquetes mínimos de productos y/o servicios sin costo adicional </w:t>
      </w:r>
      <w:r w:rsidR="00387240">
        <w:rPr>
          <w:rFonts w:ascii="Arial" w:hAnsi="Arial"/>
        </w:rPr>
        <w:t xml:space="preserve">en cuentas de ahorro, tarjetas de débito y/o crédito </w:t>
      </w:r>
      <w:r w:rsidR="00F6516C">
        <w:rPr>
          <w:rFonts w:ascii="Arial" w:hAnsi="Arial"/>
        </w:rPr>
        <w:t>en atención</w:t>
      </w:r>
      <w:r w:rsidR="003E06FF">
        <w:rPr>
          <w:rFonts w:ascii="Arial" w:hAnsi="Arial"/>
        </w:rPr>
        <w:t xml:space="preserve"> </w:t>
      </w:r>
      <w:r w:rsidR="00F6516C">
        <w:rPr>
          <w:rFonts w:ascii="Arial" w:hAnsi="Arial"/>
        </w:rPr>
        <w:t>a lo dispuesto en</w:t>
      </w:r>
      <w:r w:rsidR="004514BB">
        <w:rPr>
          <w:rFonts w:ascii="Arial" w:hAnsi="Arial"/>
        </w:rPr>
        <w:t xml:space="preserve"> la Ley 2009 de 2019</w:t>
      </w:r>
      <w:r w:rsidR="00472162">
        <w:rPr>
          <w:rFonts w:ascii="Arial" w:hAnsi="Arial"/>
        </w:rPr>
        <w:t>.</w:t>
      </w:r>
      <w:r w:rsidR="00E53DAA">
        <w:rPr>
          <w:rFonts w:ascii="Arial" w:hAnsi="Arial"/>
        </w:rPr>
        <w:t xml:space="preserve"> </w:t>
      </w:r>
    </w:p>
    <w:p w14:paraId="3FD4F05C" w14:textId="6715DC66" w:rsidR="004D5834" w:rsidRDefault="004D5834" w:rsidP="00D34350">
      <w:pPr>
        <w:jc w:val="both"/>
        <w:rPr>
          <w:rFonts w:ascii="Arial" w:hAnsi="Arial"/>
        </w:rPr>
      </w:pPr>
    </w:p>
    <w:p w14:paraId="78883256" w14:textId="5702D56D" w:rsidR="00292ACE" w:rsidRDefault="00380459" w:rsidP="00D34350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TERCERA</w:t>
      </w:r>
      <w:r w:rsidR="00153B83">
        <w:rPr>
          <w:rFonts w:ascii="Arial" w:hAnsi="Arial"/>
          <w:b/>
          <w:bCs/>
        </w:rPr>
        <w:t xml:space="preserve">: </w:t>
      </w:r>
      <w:r w:rsidR="00292ACE">
        <w:rPr>
          <w:rFonts w:ascii="Arial" w:hAnsi="Arial"/>
        </w:rPr>
        <w:t xml:space="preserve">Adicionar </w:t>
      </w:r>
      <w:r w:rsidR="00F94B22">
        <w:rPr>
          <w:rFonts w:ascii="Arial" w:hAnsi="Arial"/>
        </w:rPr>
        <w:t>los</w:t>
      </w:r>
      <w:r w:rsidR="00292ACE">
        <w:rPr>
          <w:rFonts w:ascii="Arial" w:hAnsi="Arial"/>
        </w:rPr>
        <w:t xml:space="preserve"> </w:t>
      </w:r>
      <w:proofErr w:type="spellStart"/>
      <w:r w:rsidR="00292ACE">
        <w:rPr>
          <w:rFonts w:ascii="Arial" w:hAnsi="Arial"/>
        </w:rPr>
        <w:t>subnumeral</w:t>
      </w:r>
      <w:r w:rsidR="00F94B22">
        <w:rPr>
          <w:rFonts w:ascii="Arial" w:hAnsi="Arial"/>
        </w:rPr>
        <w:t>es</w:t>
      </w:r>
      <w:proofErr w:type="spellEnd"/>
      <w:r w:rsidR="00292ACE">
        <w:rPr>
          <w:rFonts w:ascii="Arial" w:hAnsi="Arial"/>
        </w:rPr>
        <w:t xml:space="preserve"> </w:t>
      </w:r>
      <w:r w:rsidR="00F94B22">
        <w:rPr>
          <w:rFonts w:ascii="Arial" w:hAnsi="Arial"/>
        </w:rPr>
        <w:t>6.2.53</w:t>
      </w:r>
      <w:r w:rsidR="00292ACE">
        <w:rPr>
          <w:rFonts w:ascii="Arial" w:hAnsi="Arial"/>
        </w:rPr>
        <w:t>.</w:t>
      </w:r>
      <w:r w:rsidR="00F94B22">
        <w:rPr>
          <w:rFonts w:ascii="Arial" w:hAnsi="Arial"/>
        </w:rPr>
        <w:t xml:space="preserve"> y 6.2.54</w:t>
      </w:r>
      <w:r w:rsidR="009B582C">
        <w:rPr>
          <w:rFonts w:ascii="Arial" w:hAnsi="Arial"/>
        </w:rPr>
        <w:t>.</w:t>
      </w:r>
      <w:r w:rsidR="00292ACE">
        <w:rPr>
          <w:rFonts w:ascii="Arial" w:hAnsi="Arial"/>
        </w:rPr>
        <w:t xml:space="preserve"> </w:t>
      </w:r>
      <w:r w:rsidR="00F94B22">
        <w:rPr>
          <w:rFonts w:ascii="Arial" w:hAnsi="Arial"/>
        </w:rPr>
        <w:t>al</w:t>
      </w:r>
      <w:r w:rsidR="00292ACE">
        <w:rPr>
          <w:rFonts w:ascii="Arial" w:hAnsi="Arial"/>
        </w:rPr>
        <w:t xml:space="preserve"> </w:t>
      </w:r>
      <w:r w:rsidR="009B582C">
        <w:rPr>
          <w:rFonts w:ascii="Arial" w:hAnsi="Arial"/>
        </w:rPr>
        <w:t>Capítulo I del Título III de la Parte I</w:t>
      </w:r>
      <w:r w:rsidR="00292ACE">
        <w:rPr>
          <w:rFonts w:ascii="Arial" w:hAnsi="Arial"/>
        </w:rPr>
        <w:t xml:space="preserve"> de la Circular Básica Jurídica para tipificar como prácticas abusivas aquellas relacionadas con los </w:t>
      </w:r>
      <w:r w:rsidR="00292ACE" w:rsidRPr="00254B1E">
        <w:rPr>
          <w:rFonts w:ascii="Arial" w:hAnsi="Arial"/>
        </w:rPr>
        <w:t>cobros por las operacione</w:t>
      </w:r>
      <w:r w:rsidR="00292ACE">
        <w:rPr>
          <w:rFonts w:ascii="Arial" w:hAnsi="Arial"/>
        </w:rPr>
        <w:t>s</w:t>
      </w:r>
      <w:r w:rsidR="00292ACE" w:rsidRPr="00254B1E">
        <w:rPr>
          <w:rFonts w:ascii="Arial" w:hAnsi="Arial"/>
        </w:rPr>
        <w:t xml:space="preserve"> de consulta de saldo o </w:t>
      </w:r>
      <w:r w:rsidR="00292ACE" w:rsidRPr="00254B1E">
        <w:rPr>
          <w:rFonts w:ascii="Arial" w:hAnsi="Arial"/>
        </w:rPr>
        <w:lastRenderedPageBreak/>
        <w:t>descarga de extractos realizadas en plataformas electrónicas</w:t>
      </w:r>
      <w:r w:rsidR="00292ACE">
        <w:rPr>
          <w:rFonts w:ascii="Arial" w:hAnsi="Arial"/>
        </w:rPr>
        <w:t xml:space="preserve">, y aquellos asociados </w:t>
      </w:r>
      <w:r w:rsidR="00292ACE" w:rsidRPr="00F144A2">
        <w:rPr>
          <w:rFonts w:ascii="Arial" w:hAnsi="Arial"/>
        </w:rPr>
        <w:t>a operaciones fallidas en cajeros automáticos</w:t>
      </w:r>
      <w:r w:rsidR="00292ACE">
        <w:rPr>
          <w:rFonts w:ascii="Arial" w:hAnsi="Arial"/>
        </w:rPr>
        <w:t>.</w:t>
      </w:r>
    </w:p>
    <w:p w14:paraId="4642007E" w14:textId="77777777" w:rsidR="00292ACE" w:rsidRDefault="00292ACE" w:rsidP="00D34350">
      <w:pPr>
        <w:jc w:val="both"/>
        <w:rPr>
          <w:rFonts w:ascii="Arial" w:hAnsi="Arial"/>
          <w:b/>
          <w:bCs/>
        </w:rPr>
      </w:pPr>
    </w:p>
    <w:p w14:paraId="68550A41" w14:textId="021BF1AA" w:rsidR="00153B83" w:rsidRDefault="009B582C" w:rsidP="00D3435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CUARTA: </w:t>
      </w:r>
      <w:r w:rsidR="00153B83">
        <w:rPr>
          <w:rFonts w:ascii="Arial" w:hAnsi="Arial"/>
        </w:rPr>
        <w:t xml:space="preserve">Adicionar los </w:t>
      </w:r>
      <w:proofErr w:type="spellStart"/>
      <w:r w:rsidR="00153B83">
        <w:rPr>
          <w:rFonts w:ascii="Arial" w:hAnsi="Arial"/>
        </w:rPr>
        <w:t>subnumerales</w:t>
      </w:r>
      <w:proofErr w:type="spellEnd"/>
      <w:r w:rsidR="00153B83">
        <w:rPr>
          <w:rFonts w:ascii="Arial" w:hAnsi="Arial"/>
        </w:rPr>
        <w:t xml:space="preserve"> </w:t>
      </w:r>
      <w:r w:rsidR="007F3AA0">
        <w:rPr>
          <w:rFonts w:ascii="Arial" w:hAnsi="Arial"/>
        </w:rPr>
        <w:t xml:space="preserve">8.5.6., 8.5.7. y 8.5.8. </w:t>
      </w:r>
      <w:r w:rsidR="005072D7">
        <w:rPr>
          <w:rFonts w:ascii="Arial" w:hAnsi="Arial"/>
        </w:rPr>
        <w:t xml:space="preserve">del Capítulo II del Título IV de la Parte I de la Circular Básica Jurídica </w:t>
      </w:r>
      <w:r w:rsidR="00A9660B">
        <w:rPr>
          <w:rFonts w:ascii="Arial" w:hAnsi="Arial"/>
        </w:rPr>
        <w:t>con el propósito de</w:t>
      </w:r>
      <w:r w:rsidR="008138D1">
        <w:rPr>
          <w:rFonts w:ascii="Arial" w:hAnsi="Arial"/>
        </w:rPr>
        <w:t xml:space="preserve"> establecer </w:t>
      </w:r>
      <w:r w:rsidR="00654737">
        <w:rPr>
          <w:rFonts w:ascii="Arial" w:hAnsi="Arial"/>
        </w:rPr>
        <w:t>los incumplimientos a la Ley 2009 de 2019</w:t>
      </w:r>
      <w:r w:rsidR="008C297F">
        <w:rPr>
          <w:rFonts w:ascii="Arial" w:hAnsi="Arial"/>
        </w:rPr>
        <w:t xml:space="preserve"> como criterios </w:t>
      </w:r>
      <w:r w:rsidR="00656405">
        <w:rPr>
          <w:rFonts w:ascii="Arial" w:hAnsi="Arial"/>
        </w:rPr>
        <w:t xml:space="preserve">de clasificación </w:t>
      </w:r>
      <w:r w:rsidR="00AD2CA4">
        <w:rPr>
          <w:rFonts w:ascii="Arial" w:hAnsi="Arial"/>
        </w:rPr>
        <w:t>para</w:t>
      </w:r>
      <w:r w:rsidR="008C297F">
        <w:rPr>
          <w:rFonts w:ascii="Arial" w:hAnsi="Arial"/>
        </w:rPr>
        <w:t xml:space="preserve"> la queja exprés</w:t>
      </w:r>
      <w:r w:rsidR="00654737">
        <w:rPr>
          <w:rFonts w:ascii="Arial" w:hAnsi="Arial"/>
        </w:rPr>
        <w:t>.</w:t>
      </w:r>
    </w:p>
    <w:p w14:paraId="4F1C2D27" w14:textId="77777777" w:rsidR="00242E51" w:rsidRDefault="00242E51" w:rsidP="00D34350">
      <w:pPr>
        <w:jc w:val="both"/>
        <w:rPr>
          <w:rFonts w:ascii="Arial" w:hAnsi="Arial"/>
        </w:rPr>
      </w:pPr>
      <w:bookmarkStart w:id="1" w:name="_GoBack"/>
      <w:bookmarkEnd w:id="1"/>
    </w:p>
    <w:p w14:paraId="0B9EDDDA" w14:textId="37EB50B1" w:rsidR="001657F2" w:rsidRDefault="009B582C" w:rsidP="001657F2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QUINTA: </w:t>
      </w:r>
      <w:r w:rsidR="00242E51" w:rsidRPr="0084592B">
        <w:rPr>
          <w:rFonts w:ascii="Arial" w:hAnsi="Arial"/>
        </w:rPr>
        <w:t xml:space="preserve">Adicionar el </w:t>
      </w:r>
      <w:proofErr w:type="spellStart"/>
      <w:r w:rsidR="00242E51" w:rsidRPr="0084592B">
        <w:rPr>
          <w:rFonts w:ascii="Arial" w:hAnsi="Arial"/>
        </w:rPr>
        <w:t>subnumeral</w:t>
      </w:r>
      <w:proofErr w:type="spellEnd"/>
      <w:r w:rsidR="00242E51" w:rsidRPr="0084592B">
        <w:rPr>
          <w:rFonts w:ascii="Arial" w:hAnsi="Arial"/>
        </w:rPr>
        <w:t xml:space="preserve"> 8.5.9. del Capítulo II del Título IV de la Parte I de la Circular Básica Jurídica con el propósito de establecer </w:t>
      </w:r>
      <w:r w:rsidR="0029439D" w:rsidRPr="0084592B">
        <w:rPr>
          <w:rFonts w:ascii="Arial" w:hAnsi="Arial"/>
        </w:rPr>
        <w:t>el incumplimiento al Artículo 10 de la Ley 1266 de 2008</w:t>
      </w:r>
      <w:r w:rsidR="00CC605B">
        <w:rPr>
          <w:rFonts w:ascii="Arial" w:hAnsi="Arial"/>
        </w:rPr>
        <w:t xml:space="preserve"> </w:t>
      </w:r>
      <w:r w:rsidR="0029439D" w:rsidRPr="0084592B">
        <w:rPr>
          <w:rFonts w:ascii="Arial" w:hAnsi="Arial"/>
        </w:rPr>
        <w:t>en relación con la negación de una solicitud de crédito basados exclusivamente en el reporte de información negativa del solicitant</w:t>
      </w:r>
      <w:r w:rsidR="001657F2">
        <w:rPr>
          <w:rFonts w:ascii="Arial" w:hAnsi="Arial"/>
        </w:rPr>
        <w:t>e como criterios</w:t>
      </w:r>
      <w:r w:rsidR="00656405">
        <w:rPr>
          <w:rFonts w:ascii="Arial" w:hAnsi="Arial"/>
        </w:rPr>
        <w:t xml:space="preserve"> de clasificación</w:t>
      </w:r>
      <w:r w:rsidR="001657F2">
        <w:rPr>
          <w:rFonts w:ascii="Arial" w:hAnsi="Arial"/>
        </w:rPr>
        <w:t xml:space="preserve"> para la queja exprés.</w:t>
      </w:r>
    </w:p>
    <w:p w14:paraId="6E9BAFF9" w14:textId="65BAD69F" w:rsidR="00F241BB" w:rsidRDefault="00F241BB" w:rsidP="00FC435E">
      <w:pPr>
        <w:tabs>
          <w:tab w:val="left" w:pos="2244"/>
        </w:tabs>
        <w:jc w:val="both"/>
        <w:rPr>
          <w:rFonts w:ascii="Arial" w:hAnsi="Arial"/>
        </w:rPr>
      </w:pPr>
    </w:p>
    <w:p w14:paraId="15629C83" w14:textId="7613609C" w:rsidR="00F241BB" w:rsidRPr="00153B83" w:rsidRDefault="005A605B" w:rsidP="00FC435E">
      <w:pPr>
        <w:tabs>
          <w:tab w:val="left" w:pos="2244"/>
        </w:tabs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SEXTA</w:t>
      </w:r>
      <w:r w:rsidR="00F241BB" w:rsidRPr="001460F3">
        <w:rPr>
          <w:rFonts w:ascii="Arial" w:hAnsi="Arial"/>
          <w:b/>
          <w:bCs/>
        </w:rPr>
        <w:t>:</w:t>
      </w:r>
      <w:r w:rsidR="00F241BB">
        <w:rPr>
          <w:rFonts w:ascii="Arial" w:hAnsi="Arial"/>
          <w:b/>
          <w:bCs/>
        </w:rPr>
        <w:t xml:space="preserve"> </w:t>
      </w:r>
      <w:r w:rsidR="00C84F67">
        <w:rPr>
          <w:rFonts w:ascii="Arial" w:hAnsi="Arial"/>
        </w:rPr>
        <w:t xml:space="preserve">Sin perjuicio </w:t>
      </w:r>
      <w:r w:rsidR="008A2CEC">
        <w:rPr>
          <w:rFonts w:ascii="Arial" w:hAnsi="Arial"/>
        </w:rPr>
        <w:t>de las medidas de supervisión adoptadas por esta Superintendencia</w:t>
      </w:r>
      <w:r w:rsidR="009A3E31">
        <w:rPr>
          <w:rFonts w:ascii="Arial" w:hAnsi="Arial"/>
        </w:rPr>
        <w:t xml:space="preserve"> respecto de la aplicación de la Ley 2009 de 2019</w:t>
      </w:r>
      <w:r w:rsidR="008F5723">
        <w:rPr>
          <w:rFonts w:ascii="Arial" w:hAnsi="Arial"/>
        </w:rPr>
        <w:t>,</w:t>
      </w:r>
      <w:r w:rsidR="009A3E31">
        <w:rPr>
          <w:rFonts w:ascii="Arial" w:hAnsi="Arial"/>
        </w:rPr>
        <w:t xml:space="preserve"> </w:t>
      </w:r>
      <w:r w:rsidR="008F5723">
        <w:rPr>
          <w:rFonts w:ascii="Arial" w:hAnsi="Arial"/>
        </w:rPr>
        <w:t>e</w:t>
      </w:r>
      <w:r w:rsidR="00993D06">
        <w:rPr>
          <w:rFonts w:ascii="Arial" w:hAnsi="Arial"/>
        </w:rPr>
        <w:t>n el evento en que l</w:t>
      </w:r>
      <w:r w:rsidR="00F241BB" w:rsidRPr="00F241BB">
        <w:rPr>
          <w:rFonts w:ascii="Arial" w:hAnsi="Arial"/>
        </w:rPr>
        <w:t>as</w:t>
      </w:r>
      <w:r w:rsidR="00F241BB">
        <w:rPr>
          <w:rFonts w:ascii="Arial" w:hAnsi="Arial"/>
          <w:b/>
          <w:bCs/>
        </w:rPr>
        <w:t xml:space="preserve"> </w:t>
      </w:r>
      <w:r w:rsidR="00F241BB" w:rsidRPr="00F241BB">
        <w:rPr>
          <w:rFonts w:ascii="Arial" w:hAnsi="Arial"/>
        </w:rPr>
        <w:t xml:space="preserve">entidades </w:t>
      </w:r>
      <w:r w:rsidR="00993D06">
        <w:rPr>
          <w:rFonts w:ascii="Arial" w:hAnsi="Arial"/>
        </w:rPr>
        <w:t xml:space="preserve">vigiladas hayan realizado cobros </w:t>
      </w:r>
      <w:r w:rsidR="00950454">
        <w:rPr>
          <w:rFonts w:ascii="Arial" w:hAnsi="Arial"/>
        </w:rPr>
        <w:t xml:space="preserve">por </w:t>
      </w:r>
      <w:r w:rsidR="00A4787A">
        <w:rPr>
          <w:rFonts w:ascii="Arial" w:hAnsi="Arial"/>
        </w:rPr>
        <w:t xml:space="preserve">alguno de los productos y/o servicios </w:t>
      </w:r>
      <w:r w:rsidR="00AD1C0B">
        <w:rPr>
          <w:rFonts w:ascii="Arial" w:hAnsi="Arial"/>
        </w:rPr>
        <w:t xml:space="preserve">informados a los consumidores financieros </w:t>
      </w:r>
      <w:r w:rsidR="00EF6934">
        <w:rPr>
          <w:rFonts w:ascii="Arial" w:hAnsi="Arial"/>
        </w:rPr>
        <w:t xml:space="preserve">como productos y servicios </w:t>
      </w:r>
      <w:r w:rsidR="00AD1C0B">
        <w:rPr>
          <w:rFonts w:ascii="Arial" w:hAnsi="Arial"/>
        </w:rPr>
        <w:t xml:space="preserve">sin costo adicional, aquellas entidades vigiladas deben reversar dichos cobros a los consumidores financieros </w:t>
      </w:r>
      <w:r w:rsidR="0074108A">
        <w:rPr>
          <w:rFonts w:ascii="Arial" w:hAnsi="Arial"/>
        </w:rPr>
        <w:t>dentro de los 5 días hábiles siguientes a la expedición de la presente Circular</w:t>
      </w:r>
      <w:r w:rsidR="0020169E">
        <w:rPr>
          <w:rFonts w:ascii="Arial" w:hAnsi="Arial"/>
        </w:rPr>
        <w:t>.</w:t>
      </w:r>
    </w:p>
    <w:p w14:paraId="149737D7" w14:textId="77777777" w:rsidR="00FC435E" w:rsidRDefault="00FC435E" w:rsidP="00F144A2">
      <w:pPr>
        <w:jc w:val="both"/>
        <w:rPr>
          <w:rFonts w:ascii="Arial" w:hAnsi="Arial"/>
        </w:rPr>
      </w:pPr>
    </w:p>
    <w:p w14:paraId="623A4A70" w14:textId="3EB0EF77" w:rsidR="003800FF" w:rsidRPr="00153B83" w:rsidRDefault="002D2931" w:rsidP="003800FF">
      <w:pPr>
        <w:tabs>
          <w:tab w:val="left" w:pos="2244"/>
        </w:tabs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SEPTIMA</w:t>
      </w:r>
      <w:r w:rsidR="00C07FDE" w:rsidRPr="001460F3">
        <w:rPr>
          <w:rFonts w:ascii="Arial" w:hAnsi="Arial"/>
          <w:b/>
          <w:bCs/>
        </w:rPr>
        <w:t>:</w:t>
      </w:r>
      <w:r w:rsidR="00C07FDE">
        <w:rPr>
          <w:rFonts w:ascii="Arial" w:hAnsi="Arial"/>
        </w:rPr>
        <w:t xml:space="preserve"> </w:t>
      </w:r>
      <w:r w:rsidR="00240EEC">
        <w:rPr>
          <w:rFonts w:ascii="Arial" w:hAnsi="Arial"/>
        </w:rPr>
        <w:t xml:space="preserve">Las entidades administradoras de sistemas de pago de bajo valor </w:t>
      </w:r>
      <w:r w:rsidR="002E658B">
        <w:rPr>
          <w:rFonts w:ascii="Arial" w:hAnsi="Arial"/>
        </w:rPr>
        <w:t xml:space="preserve">que administren </w:t>
      </w:r>
      <w:r w:rsidR="00F12B6B">
        <w:rPr>
          <w:rFonts w:ascii="Arial" w:hAnsi="Arial"/>
        </w:rPr>
        <w:t xml:space="preserve">su propia red de </w:t>
      </w:r>
      <w:r w:rsidR="002E658B">
        <w:rPr>
          <w:rFonts w:ascii="Arial" w:hAnsi="Arial"/>
        </w:rPr>
        <w:t xml:space="preserve">cajeros automáticos </w:t>
      </w:r>
      <w:r w:rsidR="002A12FE">
        <w:rPr>
          <w:rFonts w:ascii="Arial" w:hAnsi="Arial"/>
        </w:rPr>
        <w:t xml:space="preserve">deben parametrizar sus cajeros automáticos para efectos de </w:t>
      </w:r>
      <w:r w:rsidR="001A43C8">
        <w:rPr>
          <w:rFonts w:ascii="Arial" w:hAnsi="Arial"/>
        </w:rPr>
        <w:t>garantizar el</w:t>
      </w:r>
      <w:r w:rsidR="002A12FE">
        <w:rPr>
          <w:rFonts w:ascii="Arial" w:hAnsi="Arial"/>
        </w:rPr>
        <w:t xml:space="preserve"> cumplimiento </w:t>
      </w:r>
      <w:r w:rsidR="001A43C8">
        <w:rPr>
          <w:rFonts w:ascii="Arial" w:hAnsi="Arial"/>
        </w:rPr>
        <w:t>de</w:t>
      </w:r>
      <w:r w:rsidR="002A12FE">
        <w:rPr>
          <w:rFonts w:ascii="Arial" w:hAnsi="Arial"/>
        </w:rPr>
        <w:t xml:space="preserve">l </w:t>
      </w:r>
      <w:r w:rsidR="005F44B4">
        <w:rPr>
          <w:rFonts w:ascii="Arial" w:hAnsi="Arial"/>
        </w:rPr>
        <w:t xml:space="preserve">artículo 3 de la Ley </w:t>
      </w:r>
      <w:r w:rsidR="009A16B8">
        <w:rPr>
          <w:rFonts w:ascii="Arial" w:hAnsi="Arial"/>
        </w:rPr>
        <w:t>2009 de 2019</w:t>
      </w:r>
      <w:r w:rsidR="00CE6E33">
        <w:rPr>
          <w:rFonts w:ascii="Arial" w:hAnsi="Arial"/>
        </w:rPr>
        <w:t xml:space="preserve"> </w:t>
      </w:r>
      <w:r w:rsidR="00A02BAC">
        <w:rPr>
          <w:rFonts w:ascii="Arial" w:hAnsi="Arial"/>
        </w:rPr>
        <w:t>conforme a</w:t>
      </w:r>
      <w:r w:rsidR="00CE6E33">
        <w:rPr>
          <w:rFonts w:ascii="Arial" w:hAnsi="Arial"/>
        </w:rPr>
        <w:t xml:space="preserve"> los términos descritos en la presente Circular</w:t>
      </w:r>
      <w:r w:rsidR="004D7710">
        <w:rPr>
          <w:rFonts w:ascii="Arial" w:hAnsi="Arial"/>
        </w:rPr>
        <w:t xml:space="preserve"> </w:t>
      </w:r>
      <w:r w:rsidR="000C5EAE">
        <w:rPr>
          <w:rFonts w:ascii="Arial" w:hAnsi="Arial"/>
        </w:rPr>
        <w:t>a más tardar el 16 de marzo de 2020.</w:t>
      </w:r>
    </w:p>
    <w:p w14:paraId="48E0A7B1" w14:textId="71469801" w:rsidR="00240EEC" w:rsidRDefault="00240EEC" w:rsidP="00D34350">
      <w:pPr>
        <w:jc w:val="both"/>
        <w:rPr>
          <w:rFonts w:ascii="Arial" w:hAnsi="Arial"/>
        </w:rPr>
      </w:pPr>
    </w:p>
    <w:p w14:paraId="433E4E0F" w14:textId="347A8876" w:rsidR="00C07FDE" w:rsidRDefault="002D2931" w:rsidP="00D3435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OCTAVA</w:t>
      </w:r>
      <w:r w:rsidR="00A02BAC" w:rsidRPr="00A02BAC">
        <w:rPr>
          <w:rFonts w:ascii="Arial" w:hAnsi="Arial"/>
          <w:b/>
          <w:bCs/>
        </w:rPr>
        <w:t>:</w:t>
      </w:r>
      <w:r w:rsidR="00A02BAC">
        <w:rPr>
          <w:rFonts w:ascii="Arial" w:hAnsi="Arial"/>
        </w:rPr>
        <w:t xml:space="preserve"> </w:t>
      </w:r>
      <w:r w:rsidR="001460F3" w:rsidRPr="00F30BE9">
        <w:rPr>
          <w:rFonts w:ascii="Arial" w:hAnsi="Arial" w:cs="Arial"/>
        </w:rPr>
        <w:t>La presente Circular rige a partir de su</w:t>
      </w:r>
      <w:r w:rsidR="001460F3">
        <w:rPr>
          <w:rFonts w:ascii="Arial" w:hAnsi="Arial" w:cs="Arial"/>
        </w:rPr>
        <w:t xml:space="preserve"> expedición</w:t>
      </w:r>
      <w:r w:rsidR="001460F3" w:rsidRPr="00F30BE9">
        <w:rPr>
          <w:rFonts w:ascii="Arial" w:hAnsi="Arial" w:cs="Arial"/>
        </w:rPr>
        <w:t>.</w:t>
      </w:r>
    </w:p>
    <w:p w14:paraId="245BDB34" w14:textId="76EE3B77" w:rsidR="009631E2" w:rsidRDefault="009631E2" w:rsidP="001F70DB">
      <w:pPr>
        <w:jc w:val="both"/>
        <w:rPr>
          <w:rFonts w:ascii="Arial" w:hAnsi="Arial"/>
        </w:rPr>
      </w:pPr>
    </w:p>
    <w:p w14:paraId="05E5F632" w14:textId="77777777" w:rsidR="005F5CDF" w:rsidRPr="006E2FA3" w:rsidRDefault="005F5CDF" w:rsidP="001F70DB">
      <w:pPr>
        <w:jc w:val="both"/>
        <w:rPr>
          <w:rFonts w:ascii="Arial" w:hAnsi="Arial"/>
        </w:rPr>
      </w:pPr>
    </w:p>
    <w:bookmarkEnd w:id="0"/>
    <w:p w14:paraId="48637348" w14:textId="77777777" w:rsidR="001F70DB" w:rsidRPr="00FD6303" w:rsidRDefault="001F70DB">
      <w:pPr>
        <w:jc w:val="both"/>
        <w:rPr>
          <w:rFonts w:ascii="Arial" w:hAnsi="Arial"/>
        </w:rPr>
      </w:pPr>
    </w:p>
    <w:p w14:paraId="2A4A6BD2" w14:textId="77777777" w:rsidR="009D5E0B" w:rsidRPr="006E2FA3" w:rsidRDefault="00A155B3">
      <w:pPr>
        <w:jc w:val="both"/>
        <w:rPr>
          <w:rFonts w:ascii="Arial" w:eastAsia="Arial" w:hAnsi="Arial" w:cs="Arial"/>
        </w:rPr>
      </w:pPr>
      <w:r w:rsidRPr="006E2FA3">
        <w:rPr>
          <w:rFonts w:ascii="Arial" w:hAnsi="Arial"/>
        </w:rPr>
        <w:t>Cordialmente,</w:t>
      </w:r>
    </w:p>
    <w:p w14:paraId="041728E4" w14:textId="77777777" w:rsidR="009D5E0B" w:rsidRPr="006E2FA3" w:rsidRDefault="009D5E0B">
      <w:pPr>
        <w:rPr>
          <w:rFonts w:ascii="Arial" w:eastAsia="Arial" w:hAnsi="Arial" w:cs="Arial"/>
          <w:b/>
          <w:bCs/>
        </w:rPr>
      </w:pPr>
    </w:p>
    <w:p w14:paraId="07885EE4" w14:textId="2E275B12" w:rsidR="009631E2" w:rsidRPr="006E2FA3" w:rsidRDefault="009631E2">
      <w:pPr>
        <w:rPr>
          <w:rFonts w:ascii="Arial" w:hAnsi="Arial"/>
          <w:b/>
          <w:bCs/>
        </w:rPr>
      </w:pPr>
    </w:p>
    <w:p w14:paraId="36DD9FE0" w14:textId="77777777" w:rsidR="006E2FA3" w:rsidRPr="006E2FA3" w:rsidRDefault="006E2FA3">
      <w:pPr>
        <w:rPr>
          <w:rFonts w:ascii="Arial" w:hAnsi="Arial"/>
          <w:b/>
          <w:bCs/>
        </w:rPr>
      </w:pPr>
    </w:p>
    <w:p w14:paraId="15ACFCD0" w14:textId="77777777" w:rsidR="009631E2" w:rsidRPr="006E2FA3" w:rsidRDefault="009631E2">
      <w:pPr>
        <w:rPr>
          <w:rFonts w:ascii="Arial" w:hAnsi="Arial"/>
          <w:b/>
          <w:bCs/>
        </w:rPr>
      </w:pPr>
    </w:p>
    <w:p w14:paraId="286B82F1" w14:textId="1D087E9B" w:rsidR="0012086A" w:rsidRPr="006E2FA3" w:rsidRDefault="00254B1E" w:rsidP="0012086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JORGE CASTAÑO GUTIERREZ</w:t>
      </w:r>
    </w:p>
    <w:p w14:paraId="3F8B270D" w14:textId="46CEE362" w:rsidR="0012086A" w:rsidRPr="006E2FA3" w:rsidRDefault="0012086A" w:rsidP="0012086A">
      <w:pPr>
        <w:rPr>
          <w:rFonts w:ascii="Arial" w:hAnsi="Arial"/>
        </w:rPr>
      </w:pPr>
      <w:r w:rsidRPr="006E2FA3">
        <w:rPr>
          <w:rFonts w:ascii="Arial" w:hAnsi="Arial"/>
        </w:rPr>
        <w:t xml:space="preserve">Superintendente </w:t>
      </w:r>
      <w:r w:rsidR="00254B1E">
        <w:rPr>
          <w:rFonts w:ascii="Arial" w:hAnsi="Arial"/>
        </w:rPr>
        <w:t>Financiero de Colombia</w:t>
      </w:r>
    </w:p>
    <w:p w14:paraId="70C41692" w14:textId="5B99FAA9" w:rsidR="000E095B" w:rsidRPr="006E2FA3" w:rsidRDefault="00254B1E">
      <w:p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50000</w:t>
      </w:r>
    </w:p>
    <w:sectPr w:rsidR="000E095B" w:rsidRPr="006E2FA3" w:rsidSect="006E2FA3">
      <w:headerReference w:type="default" r:id="rId11"/>
      <w:headerReference w:type="first" r:id="rId12"/>
      <w:pgSz w:w="12240" w:h="18720" w:code="14"/>
      <w:pgMar w:top="1417" w:right="1701" w:bottom="1417" w:left="1701" w:header="720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FE32" w14:textId="77777777" w:rsidR="00CA32D8" w:rsidRDefault="00CA32D8">
      <w:r>
        <w:separator/>
      </w:r>
    </w:p>
  </w:endnote>
  <w:endnote w:type="continuationSeparator" w:id="0">
    <w:p w14:paraId="2437DDBA" w14:textId="77777777" w:rsidR="00CA32D8" w:rsidRDefault="00CA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A57AD" w14:textId="77777777" w:rsidR="00CA32D8" w:rsidRDefault="00CA32D8">
      <w:r>
        <w:separator/>
      </w:r>
    </w:p>
  </w:footnote>
  <w:footnote w:type="continuationSeparator" w:id="0">
    <w:p w14:paraId="70739F67" w14:textId="77777777" w:rsidR="00CA32D8" w:rsidRDefault="00CA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56D0" w14:textId="77777777" w:rsidR="008C0012" w:rsidRDefault="008C0012">
    <w:pPr>
      <w:pStyle w:val="Encabezado"/>
      <w:jc w:val="center"/>
      <w:rPr>
        <w:rFonts w:ascii="Arial" w:eastAsia="Arial" w:hAnsi="Arial" w:cs="Arial"/>
        <w:b/>
        <w:bCs/>
      </w:rPr>
    </w:pPr>
    <w:r>
      <w:rPr>
        <w:rFonts w:ascii="Arial" w:hAnsi="Arial"/>
        <w:b/>
        <w:bCs/>
      </w:rPr>
      <w:t>SUPERINTENDENCIA FINANCIERA DE COLOMBIA</w:t>
    </w:r>
  </w:p>
  <w:p w14:paraId="2FA146B3" w14:textId="77777777" w:rsidR="008C0012" w:rsidRDefault="008C0012">
    <w:pPr>
      <w:pStyle w:val="Subttulo"/>
      <w:rPr>
        <w:rFonts w:ascii="Arial" w:eastAsia="Arial" w:hAnsi="Arial" w:cs="Arial"/>
      </w:rPr>
    </w:pPr>
  </w:p>
  <w:p w14:paraId="30749659" w14:textId="77777777" w:rsidR="006E2FA3" w:rsidRDefault="006E2FA3">
    <w:pPr>
      <w:pStyle w:val="Piedepgina"/>
      <w:rPr>
        <w:rFonts w:ascii="Arial" w:hAnsi="Arial"/>
        <w:b/>
        <w:bCs/>
        <w:sz w:val="22"/>
        <w:szCs w:val="22"/>
      </w:rPr>
    </w:pPr>
  </w:p>
  <w:p w14:paraId="59221266" w14:textId="64001C67" w:rsidR="008C0012" w:rsidRPr="00C50D97" w:rsidRDefault="008C0012">
    <w:pPr>
      <w:pStyle w:val="Piedepgina"/>
      <w:rPr>
        <w:rFonts w:ascii="Arial" w:hAnsi="Arial"/>
        <w:b/>
        <w:bCs/>
      </w:rPr>
    </w:pPr>
    <w:r w:rsidRPr="00C50D97">
      <w:rPr>
        <w:rFonts w:ascii="Arial" w:hAnsi="Arial"/>
        <w:b/>
        <w:bCs/>
      </w:rPr>
      <w:t>C</w:t>
    </w:r>
    <w:r w:rsidR="00C50D97">
      <w:rPr>
        <w:rFonts w:ascii="Arial" w:hAnsi="Arial"/>
        <w:b/>
        <w:bCs/>
      </w:rPr>
      <w:t>ircular</w:t>
    </w:r>
    <w:r w:rsidRPr="00C50D97">
      <w:rPr>
        <w:rFonts w:ascii="Arial" w:hAnsi="Arial"/>
        <w:b/>
        <w:bCs/>
      </w:rPr>
      <w:t xml:space="preserve"> </w:t>
    </w:r>
    <w:r w:rsidR="000661D6" w:rsidRPr="00C50D97">
      <w:rPr>
        <w:rFonts w:ascii="Arial" w:hAnsi="Arial"/>
        <w:b/>
        <w:bCs/>
      </w:rPr>
      <w:t>Externa</w:t>
    </w:r>
    <w:r w:rsidR="006E2FA3" w:rsidRPr="00C50D97">
      <w:rPr>
        <w:rFonts w:ascii="Arial" w:hAnsi="Arial"/>
        <w:b/>
        <w:bCs/>
      </w:rPr>
      <w:t xml:space="preserve"> </w:t>
    </w:r>
    <w:r w:rsidR="00AA03B2">
      <w:rPr>
        <w:rFonts w:ascii="Arial" w:hAnsi="Arial"/>
        <w:b/>
        <w:bCs/>
      </w:rPr>
      <w:t xml:space="preserve">003 </w:t>
    </w:r>
    <w:r w:rsidR="006E2FA3" w:rsidRPr="00C50D97">
      <w:rPr>
        <w:rFonts w:ascii="Arial" w:hAnsi="Arial"/>
        <w:b/>
        <w:bCs/>
      </w:rPr>
      <w:t>de 20</w:t>
    </w:r>
    <w:r w:rsidR="00776B49" w:rsidRPr="00C50D97">
      <w:rPr>
        <w:rFonts w:ascii="Arial" w:hAnsi="Arial"/>
        <w:b/>
        <w:bCs/>
      </w:rPr>
      <w:t>20</w:t>
    </w:r>
    <w:r w:rsidRPr="00C50D97">
      <w:rPr>
        <w:rFonts w:ascii="Arial" w:hAnsi="Arial"/>
        <w:b/>
        <w:bCs/>
      </w:rPr>
      <w:t xml:space="preserve">                                                                  Página  </w:t>
    </w:r>
    <w:r w:rsidRPr="00C50D97">
      <w:rPr>
        <w:rFonts w:ascii="Arial" w:eastAsia="Arial" w:hAnsi="Arial" w:cs="Arial"/>
        <w:b/>
        <w:bCs/>
      </w:rPr>
      <w:fldChar w:fldCharType="begin"/>
    </w:r>
    <w:r w:rsidRPr="00C50D97">
      <w:rPr>
        <w:rFonts w:ascii="Arial" w:eastAsia="Arial" w:hAnsi="Arial" w:cs="Arial"/>
        <w:b/>
        <w:bCs/>
      </w:rPr>
      <w:instrText xml:space="preserve"> PAGE </w:instrText>
    </w:r>
    <w:r w:rsidRPr="00C50D97">
      <w:rPr>
        <w:rFonts w:ascii="Arial" w:eastAsia="Arial" w:hAnsi="Arial" w:cs="Arial"/>
        <w:b/>
        <w:bCs/>
      </w:rPr>
      <w:fldChar w:fldCharType="separate"/>
    </w:r>
    <w:r w:rsidR="006E2FA3" w:rsidRPr="00C50D97">
      <w:rPr>
        <w:rFonts w:ascii="Arial" w:eastAsia="Arial" w:hAnsi="Arial" w:cs="Arial"/>
        <w:b/>
        <w:bCs/>
        <w:noProof/>
      </w:rPr>
      <w:t>2</w:t>
    </w:r>
    <w:r w:rsidRPr="00C50D97">
      <w:rPr>
        <w:rFonts w:ascii="Arial" w:eastAsia="Arial" w:hAnsi="Arial" w:cs="Arial"/>
        <w:b/>
        <w:bCs/>
      </w:rPr>
      <w:fldChar w:fldCharType="end"/>
    </w:r>
  </w:p>
  <w:p w14:paraId="7300531B" w14:textId="1EB9C94B" w:rsidR="006E2FA3" w:rsidRDefault="006E2FA3">
    <w:pPr>
      <w:pStyle w:val="Piedepgina"/>
      <w:rPr>
        <w:rFonts w:ascii="Arial" w:eastAsia="Arial" w:hAnsi="Arial" w:cs="Arial"/>
        <w:b/>
        <w:bCs/>
        <w:sz w:val="22"/>
        <w:szCs w:val="22"/>
      </w:rPr>
    </w:pPr>
  </w:p>
  <w:p w14:paraId="586BFDAA" w14:textId="77777777" w:rsidR="006E2FA3" w:rsidRDefault="006E2FA3">
    <w:pPr>
      <w:pStyle w:val="Piedep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CD89" w14:textId="77777777" w:rsidR="008C0012" w:rsidRDefault="008C0012">
    <w:pPr>
      <w:pStyle w:val="Encabezado"/>
      <w:jc w:val="center"/>
    </w:pPr>
    <w:r>
      <w:rPr>
        <w:rFonts w:ascii="Arial" w:hAnsi="Arial"/>
        <w:b/>
        <w:bCs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617C8"/>
    <w:multiLevelType w:val="hybridMultilevel"/>
    <w:tmpl w:val="13E8F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0B"/>
    <w:rsid w:val="00007B86"/>
    <w:rsid w:val="00020D8E"/>
    <w:rsid w:val="0003333D"/>
    <w:rsid w:val="000661D6"/>
    <w:rsid w:val="000C5EAE"/>
    <w:rsid w:val="000E095B"/>
    <w:rsid w:val="000E2A94"/>
    <w:rsid w:val="000E69D1"/>
    <w:rsid w:val="000E6CB9"/>
    <w:rsid w:val="000F1A75"/>
    <w:rsid w:val="001130C1"/>
    <w:rsid w:val="00115880"/>
    <w:rsid w:val="0012086A"/>
    <w:rsid w:val="00135D00"/>
    <w:rsid w:val="00142FC5"/>
    <w:rsid w:val="001460F3"/>
    <w:rsid w:val="00146846"/>
    <w:rsid w:val="00153B83"/>
    <w:rsid w:val="00157361"/>
    <w:rsid w:val="001657F2"/>
    <w:rsid w:val="00191B33"/>
    <w:rsid w:val="00195AA8"/>
    <w:rsid w:val="001A43C8"/>
    <w:rsid w:val="001E0FBA"/>
    <w:rsid w:val="001E31AF"/>
    <w:rsid w:val="001F70DB"/>
    <w:rsid w:val="0020169E"/>
    <w:rsid w:val="00206CF2"/>
    <w:rsid w:val="00211BBC"/>
    <w:rsid w:val="00217869"/>
    <w:rsid w:val="0022334B"/>
    <w:rsid w:val="00226923"/>
    <w:rsid w:val="00232BF3"/>
    <w:rsid w:val="00236621"/>
    <w:rsid w:val="00240EEC"/>
    <w:rsid w:val="00242E51"/>
    <w:rsid w:val="00245505"/>
    <w:rsid w:val="00245B77"/>
    <w:rsid w:val="00254B1E"/>
    <w:rsid w:val="00262D27"/>
    <w:rsid w:val="002630E7"/>
    <w:rsid w:val="00264FBE"/>
    <w:rsid w:val="00271BD5"/>
    <w:rsid w:val="00285592"/>
    <w:rsid w:val="00286CEC"/>
    <w:rsid w:val="00292ACE"/>
    <w:rsid w:val="0029439D"/>
    <w:rsid w:val="0029574C"/>
    <w:rsid w:val="002A12FE"/>
    <w:rsid w:val="002B6B72"/>
    <w:rsid w:val="002D2931"/>
    <w:rsid w:val="002D3E65"/>
    <w:rsid w:val="002E658B"/>
    <w:rsid w:val="002F0B84"/>
    <w:rsid w:val="002F2D54"/>
    <w:rsid w:val="00310F4D"/>
    <w:rsid w:val="00312506"/>
    <w:rsid w:val="00313EB9"/>
    <w:rsid w:val="003315DF"/>
    <w:rsid w:val="003319FD"/>
    <w:rsid w:val="00336530"/>
    <w:rsid w:val="00350850"/>
    <w:rsid w:val="00351F93"/>
    <w:rsid w:val="00357BB2"/>
    <w:rsid w:val="003800FF"/>
    <w:rsid w:val="00380459"/>
    <w:rsid w:val="00387240"/>
    <w:rsid w:val="003A3CE3"/>
    <w:rsid w:val="003B482A"/>
    <w:rsid w:val="003C52E5"/>
    <w:rsid w:val="003C7C91"/>
    <w:rsid w:val="003E06FF"/>
    <w:rsid w:val="003E41A2"/>
    <w:rsid w:val="00407AAA"/>
    <w:rsid w:val="00410202"/>
    <w:rsid w:val="004232B6"/>
    <w:rsid w:val="00443264"/>
    <w:rsid w:val="0044407B"/>
    <w:rsid w:val="004514BB"/>
    <w:rsid w:val="004613D6"/>
    <w:rsid w:val="00472162"/>
    <w:rsid w:val="00472E53"/>
    <w:rsid w:val="00482919"/>
    <w:rsid w:val="00482E5C"/>
    <w:rsid w:val="0048709F"/>
    <w:rsid w:val="00494F34"/>
    <w:rsid w:val="004A3D26"/>
    <w:rsid w:val="004C6CDE"/>
    <w:rsid w:val="004D3C0E"/>
    <w:rsid w:val="004D46E1"/>
    <w:rsid w:val="004D5834"/>
    <w:rsid w:val="004D7710"/>
    <w:rsid w:val="004D7BCD"/>
    <w:rsid w:val="004E1ABE"/>
    <w:rsid w:val="004F5B33"/>
    <w:rsid w:val="004F71E0"/>
    <w:rsid w:val="00500A21"/>
    <w:rsid w:val="00501ECE"/>
    <w:rsid w:val="005072D7"/>
    <w:rsid w:val="00522EF6"/>
    <w:rsid w:val="005460AD"/>
    <w:rsid w:val="005800DA"/>
    <w:rsid w:val="00580837"/>
    <w:rsid w:val="005A27ED"/>
    <w:rsid w:val="005A4A22"/>
    <w:rsid w:val="005A605B"/>
    <w:rsid w:val="005B5872"/>
    <w:rsid w:val="005E0D0E"/>
    <w:rsid w:val="005E1858"/>
    <w:rsid w:val="005E3409"/>
    <w:rsid w:val="005F368D"/>
    <w:rsid w:val="005F44B4"/>
    <w:rsid w:val="005F4DE2"/>
    <w:rsid w:val="005F5CDF"/>
    <w:rsid w:val="00634D29"/>
    <w:rsid w:val="006427F8"/>
    <w:rsid w:val="00654737"/>
    <w:rsid w:val="00656405"/>
    <w:rsid w:val="006569A8"/>
    <w:rsid w:val="0067656A"/>
    <w:rsid w:val="00687E86"/>
    <w:rsid w:val="0069474E"/>
    <w:rsid w:val="00694B2F"/>
    <w:rsid w:val="006E1537"/>
    <w:rsid w:val="006E2FA3"/>
    <w:rsid w:val="006E65B8"/>
    <w:rsid w:val="006F1886"/>
    <w:rsid w:val="00700F3B"/>
    <w:rsid w:val="00710FCF"/>
    <w:rsid w:val="0071527A"/>
    <w:rsid w:val="00725445"/>
    <w:rsid w:val="0074108A"/>
    <w:rsid w:val="00755C6E"/>
    <w:rsid w:val="0075634F"/>
    <w:rsid w:val="00762129"/>
    <w:rsid w:val="00776B49"/>
    <w:rsid w:val="00780292"/>
    <w:rsid w:val="00781C09"/>
    <w:rsid w:val="007A633B"/>
    <w:rsid w:val="007C1A8B"/>
    <w:rsid w:val="007C1AAD"/>
    <w:rsid w:val="007E02EC"/>
    <w:rsid w:val="007F3AA0"/>
    <w:rsid w:val="00803AE2"/>
    <w:rsid w:val="008138D1"/>
    <w:rsid w:val="00832239"/>
    <w:rsid w:val="008356C2"/>
    <w:rsid w:val="0084592B"/>
    <w:rsid w:val="00854344"/>
    <w:rsid w:val="00872DE8"/>
    <w:rsid w:val="008A2A59"/>
    <w:rsid w:val="008A2CEC"/>
    <w:rsid w:val="008A5F37"/>
    <w:rsid w:val="008B1E91"/>
    <w:rsid w:val="008B29C7"/>
    <w:rsid w:val="008B34B2"/>
    <w:rsid w:val="008B68F7"/>
    <w:rsid w:val="008C0012"/>
    <w:rsid w:val="008C297F"/>
    <w:rsid w:val="008C62DB"/>
    <w:rsid w:val="008C6A64"/>
    <w:rsid w:val="008D5912"/>
    <w:rsid w:val="008F5723"/>
    <w:rsid w:val="00950454"/>
    <w:rsid w:val="00955CDE"/>
    <w:rsid w:val="009631E2"/>
    <w:rsid w:val="009661E5"/>
    <w:rsid w:val="00966D60"/>
    <w:rsid w:val="00967FF4"/>
    <w:rsid w:val="00972742"/>
    <w:rsid w:val="00974B34"/>
    <w:rsid w:val="00987430"/>
    <w:rsid w:val="0099164A"/>
    <w:rsid w:val="00992095"/>
    <w:rsid w:val="00993D06"/>
    <w:rsid w:val="009A16B8"/>
    <w:rsid w:val="009A3E31"/>
    <w:rsid w:val="009B582C"/>
    <w:rsid w:val="009C0358"/>
    <w:rsid w:val="009C2E6F"/>
    <w:rsid w:val="009D5124"/>
    <w:rsid w:val="009D5E0B"/>
    <w:rsid w:val="009E6CCC"/>
    <w:rsid w:val="009E7C9B"/>
    <w:rsid w:val="00A02BAC"/>
    <w:rsid w:val="00A155B3"/>
    <w:rsid w:val="00A249E5"/>
    <w:rsid w:val="00A30A14"/>
    <w:rsid w:val="00A30E60"/>
    <w:rsid w:val="00A31C94"/>
    <w:rsid w:val="00A34FF4"/>
    <w:rsid w:val="00A41938"/>
    <w:rsid w:val="00A4787A"/>
    <w:rsid w:val="00A5496E"/>
    <w:rsid w:val="00A55E6C"/>
    <w:rsid w:val="00A63377"/>
    <w:rsid w:val="00A6344E"/>
    <w:rsid w:val="00A67CB4"/>
    <w:rsid w:val="00A82958"/>
    <w:rsid w:val="00A9438C"/>
    <w:rsid w:val="00A9660B"/>
    <w:rsid w:val="00AA03B2"/>
    <w:rsid w:val="00AA25F9"/>
    <w:rsid w:val="00AA6936"/>
    <w:rsid w:val="00AD1C0B"/>
    <w:rsid w:val="00AD2CA4"/>
    <w:rsid w:val="00AD4726"/>
    <w:rsid w:val="00AE503B"/>
    <w:rsid w:val="00AF12A1"/>
    <w:rsid w:val="00AF5F0E"/>
    <w:rsid w:val="00B0396D"/>
    <w:rsid w:val="00B07190"/>
    <w:rsid w:val="00B303E3"/>
    <w:rsid w:val="00B31FF2"/>
    <w:rsid w:val="00B41781"/>
    <w:rsid w:val="00B50BFF"/>
    <w:rsid w:val="00B67D81"/>
    <w:rsid w:val="00B731EC"/>
    <w:rsid w:val="00B80384"/>
    <w:rsid w:val="00B83470"/>
    <w:rsid w:val="00B904AA"/>
    <w:rsid w:val="00BA00C2"/>
    <w:rsid w:val="00BB29AE"/>
    <w:rsid w:val="00BC7841"/>
    <w:rsid w:val="00BD174A"/>
    <w:rsid w:val="00BD1B2B"/>
    <w:rsid w:val="00BD3EA5"/>
    <w:rsid w:val="00BE5FF2"/>
    <w:rsid w:val="00BE7887"/>
    <w:rsid w:val="00BF0AD4"/>
    <w:rsid w:val="00C07735"/>
    <w:rsid w:val="00C07FDE"/>
    <w:rsid w:val="00C105DE"/>
    <w:rsid w:val="00C22E3A"/>
    <w:rsid w:val="00C23630"/>
    <w:rsid w:val="00C424B4"/>
    <w:rsid w:val="00C50D97"/>
    <w:rsid w:val="00C571D7"/>
    <w:rsid w:val="00C7076A"/>
    <w:rsid w:val="00C825CF"/>
    <w:rsid w:val="00C83190"/>
    <w:rsid w:val="00C84F67"/>
    <w:rsid w:val="00CA31E0"/>
    <w:rsid w:val="00CA32D8"/>
    <w:rsid w:val="00CC605B"/>
    <w:rsid w:val="00CD3E5A"/>
    <w:rsid w:val="00CE38FC"/>
    <w:rsid w:val="00CE6E33"/>
    <w:rsid w:val="00D00F85"/>
    <w:rsid w:val="00D1684B"/>
    <w:rsid w:val="00D2509A"/>
    <w:rsid w:val="00D30BA3"/>
    <w:rsid w:val="00D34158"/>
    <w:rsid w:val="00D34350"/>
    <w:rsid w:val="00D35618"/>
    <w:rsid w:val="00D44911"/>
    <w:rsid w:val="00D5709C"/>
    <w:rsid w:val="00D57E29"/>
    <w:rsid w:val="00D60C83"/>
    <w:rsid w:val="00D76526"/>
    <w:rsid w:val="00D76ED7"/>
    <w:rsid w:val="00DC31C1"/>
    <w:rsid w:val="00DE0509"/>
    <w:rsid w:val="00E00227"/>
    <w:rsid w:val="00E02975"/>
    <w:rsid w:val="00E05E0B"/>
    <w:rsid w:val="00E53DAA"/>
    <w:rsid w:val="00E84A9A"/>
    <w:rsid w:val="00E852B6"/>
    <w:rsid w:val="00E91A67"/>
    <w:rsid w:val="00EA3E13"/>
    <w:rsid w:val="00EC0AAC"/>
    <w:rsid w:val="00EC155C"/>
    <w:rsid w:val="00ED74B9"/>
    <w:rsid w:val="00EF53B9"/>
    <w:rsid w:val="00EF6934"/>
    <w:rsid w:val="00F12B6B"/>
    <w:rsid w:val="00F144A2"/>
    <w:rsid w:val="00F241BB"/>
    <w:rsid w:val="00F41C6A"/>
    <w:rsid w:val="00F43F17"/>
    <w:rsid w:val="00F55914"/>
    <w:rsid w:val="00F62F38"/>
    <w:rsid w:val="00F63611"/>
    <w:rsid w:val="00F6516C"/>
    <w:rsid w:val="00F67F5B"/>
    <w:rsid w:val="00F75152"/>
    <w:rsid w:val="00F82342"/>
    <w:rsid w:val="00F91569"/>
    <w:rsid w:val="00F94B22"/>
    <w:rsid w:val="00FA3CF4"/>
    <w:rsid w:val="00FB2320"/>
    <w:rsid w:val="00FC435E"/>
    <w:rsid w:val="00FD6303"/>
    <w:rsid w:val="00FE7145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3679"/>
  <w15:docId w15:val="{12F8F526-20E5-4BC5-B0CC-15E9E774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Subttulo">
    <w:name w:val="Subtitle"/>
    <w:pPr>
      <w:widowControl w:val="0"/>
      <w:jc w:val="center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xtoindependiente">
    <w:name w:val="Body Text"/>
    <w:pPr>
      <w:jc w:val="both"/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F7"/>
    <w:rPr>
      <w:rFonts w:ascii="Segoe UI" w:eastAsia="Times New Roman" w:hAnsi="Segoe UI" w:cs="Segoe UI"/>
      <w:color w:val="000000"/>
      <w:sz w:val="18"/>
      <w:szCs w:val="18"/>
      <w:u w:color="00000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E6C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C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CCC"/>
    <w:rPr>
      <w:rFonts w:eastAsia="Times New Roman"/>
      <w:color w:val="000000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C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CCC"/>
    <w:rPr>
      <w:rFonts w:eastAsia="Times New Roman"/>
      <w:b/>
      <w:bCs/>
      <w:color w:val="000000"/>
      <w:u w:color="000000"/>
      <w:lang w:val="es-ES_tradnl"/>
    </w:rPr>
  </w:style>
  <w:style w:type="paragraph" w:styleId="Prrafodelista">
    <w:name w:val="List Paragraph"/>
    <w:basedOn w:val="Normal"/>
    <w:uiPriority w:val="34"/>
    <w:qFormat/>
    <w:rsid w:val="005A4A22"/>
    <w:pPr>
      <w:ind w:left="720"/>
      <w:contextualSpacing/>
    </w:pPr>
  </w:style>
  <w:style w:type="character" w:customStyle="1" w:styleId="Ninguno">
    <w:name w:val="Ninguno"/>
    <w:rsid w:val="00F144A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CB41B19E9E43B9699326CA05ACF3" ma:contentTypeVersion="5" ma:contentTypeDescription="Create a new document." ma:contentTypeScope="" ma:versionID="7c5c4198a714cd970a948955cfeb21db">
  <xsd:schema xmlns:xsd="http://www.w3.org/2001/XMLSchema" xmlns:xs="http://www.w3.org/2001/XMLSchema" xmlns:p="http://schemas.microsoft.com/office/2006/metadata/properties" xmlns:ns3="ca09224b-7910-45be-bc63-6f665945ac2a" xmlns:ns4="78f083cc-3229-44e8-a008-91f81589aed3" targetNamespace="http://schemas.microsoft.com/office/2006/metadata/properties" ma:root="true" ma:fieldsID="70bd4c5e8f2ed45b1085c0da1f0cf81b" ns3:_="" ns4:_="">
    <xsd:import namespace="ca09224b-7910-45be-bc63-6f665945ac2a"/>
    <xsd:import namespace="78f083cc-3229-44e8-a008-91f81589a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9224b-7910-45be-bc63-6f665945a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083cc-3229-44e8-a008-91f81589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AB41A-B0D5-471F-8EFE-815439C57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16264-1B5A-43DB-AACA-61EF12DF8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9224b-7910-45be-bc63-6f665945ac2a"/>
    <ds:schemaRef ds:uri="78f083cc-3229-44e8-a008-91f81589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112D5-A2A3-4634-B7B9-075F9BD36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64D12-F7F4-4405-972B-597380B8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superfinanciera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Fernando Solarte Castro</dc:creator>
  <cp:lastModifiedBy>Gabriel Armando Ospina Garcia</cp:lastModifiedBy>
  <cp:revision>4</cp:revision>
  <cp:lastPrinted>2020-02-28T20:19:00Z</cp:lastPrinted>
  <dcterms:created xsi:type="dcterms:W3CDTF">2020-02-28T21:12:00Z</dcterms:created>
  <dcterms:modified xsi:type="dcterms:W3CDTF">2020-02-28T22:21:00Z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0x010100834DCB41B19E9E43B9699326CA05ACF3</vt:lpwstr>
  </property>
</Properties>
</file>